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264ED21B" w14:textId="1F633B47" w:rsidR="00F274B6" w:rsidRPr="00E92628" w:rsidRDefault="00F274B6" w:rsidP="00F274B6">
      <w:pPr>
        <w:pStyle w:val="CRCoverPage"/>
        <w:tabs>
          <w:tab w:val="right" w:pos="9639"/>
        </w:tabs>
        <w:spacing w:before="120"/>
        <w:rPr>
          <w:rFonts w:ascii="Times New Roman" w:hAnsi="Times New Roman"/>
          <w:b/>
          <w:sz w:val="24"/>
          <w:szCs w:val="24"/>
        </w:rPr>
      </w:pPr>
      <w:bookmarkStart w:id="0" w:name="_Ref399006623"/>
      <w:bookmarkStart w:id="1" w:name="_Toc92513360"/>
      <w:r w:rsidRPr="00BE546A">
        <w:rPr>
          <w:rFonts w:ascii="Times New Roman" w:hAnsi="Times New Roman"/>
          <w:b/>
          <w:sz w:val="24"/>
          <w:szCs w:val="24"/>
        </w:rPr>
        <w:t>3GPP TSG-</w:t>
      </w:r>
      <w:r w:rsidRPr="00E92628">
        <w:rPr>
          <w:rFonts w:ascii="Times New Roman" w:hAnsi="Times New Roman"/>
          <w:b/>
          <w:sz w:val="24"/>
          <w:szCs w:val="24"/>
        </w:rPr>
        <w:t>RAN</w:t>
      </w:r>
      <w:r w:rsidRPr="00BE546A">
        <w:rPr>
          <w:rFonts w:ascii="Times New Roman" w:hAnsi="Times New Roman"/>
          <w:b/>
          <w:sz w:val="24"/>
          <w:szCs w:val="24"/>
        </w:rPr>
        <w:t xml:space="preserve"> </w:t>
      </w:r>
      <w:r w:rsidRPr="00E92628">
        <w:rPr>
          <w:rFonts w:ascii="Times New Roman" w:hAnsi="Times New Roman"/>
          <w:b/>
          <w:sz w:val="24"/>
          <w:szCs w:val="24"/>
        </w:rPr>
        <w:t xml:space="preserve">WG4 </w:t>
      </w:r>
      <w:r w:rsidRPr="00BE546A">
        <w:rPr>
          <w:rFonts w:ascii="Times New Roman" w:hAnsi="Times New Roman"/>
          <w:b/>
          <w:sz w:val="24"/>
          <w:szCs w:val="24"/>
        </w:rPr>
        <w:t>Meeting # 11</w:t>
      </w:r>
      <w:r w:rsidR="003D1CA1" w:rsidRPr="00BE546A">
        <w:rPr>
          <w:rFonts w:ascii="Times New Roman" w:hAnsi="Times New Roman"/>
          <w:b/>
          <w:sz w:val="24"/>
          <w:szCs w:val="24"/>
        </w:rPr>
        <w:t>5</w:t>
      </w:r>
      <w:r w:rsidRPr="00E92628">
        <w:rPr>
          <w:rFonts w:ascii="Times New Roman" w:hAnsi="Times New Roman"/>
          <w:b/>
          <w:sz w:val="24"/>
          <w:szCs w:val="24"/>
        </w:rPr>
        <w:tab/>
      </w:r>
      <w:r w:rsidR="007E350A">
        <w:rPr>
          <w:rFonts w:ascii="Times New Roman" w:hAnsi="Times New Roman"/>
          <w:b/>
          <w:sz w:val="24"/>
          <w:szCs w:val="24"/>
        </w:rPr>
        <w:t xml:space="preserve"> </w:t>
      </w:r>
      <w:r w:rsidR="007E350A" w:rsidRPr="007E350A">
        <w:rPr>
          <w:rFonts w:ascii="Times New Roman" w:hAnsi="Times New Roman"/>
          <w:b/>
          <w:sz w:val="24"/>
          <w:szCs w:val="24"/>
        </w:rPr>
        <w:t>R4-2505771</w:t>
      </w:r>
    </w:p>
    <w:p w14:paraId="67B6E04D" w14:textId="4ECF53FC" w:rsidR="006E5755" w:rsidRPr="00AA424D" w:rsidRDefault="00A6253F" w:rsidP="006E5755">
      <w:pPr>
        <w:overflowPunct w:val="0"/>
        <w:autoSpaceDE w:val="0"/>
        <w:autoSpaceDN w:val="0"/>
        <w:adjustRightInd w:val="0"/>
        <w:spacing w:before="120" w:after="120"/>
        <w:textAlignment w:val="baseline"/>
        <w:rPr>
          <w:rFonts w:eastAsia="Times New Roman"/>
          <w:bCs w:val="0"/>
          <w:sz w:val="24"/>
          <w:lang w:val="en-GB" w:eastAsia="en-US"/>
        </w:rPr>
      </w:pPr>
      <w:bookmarkStart w:id="2" w:name="_Hlk197635532"/>
      <w:r w:rsidRPr="00C62865">
        <w:rPr>
          <w:rFonts w:eastAsia="Times New Roman"/>
          <w:b/>
          <w:sz w:val="24"/>
          <w:lang w:val="en-GB" w:eastAsia="en-US"/>
        </w:rPr>
        <w:t>Malta, MT, 19th – 23rd May, 2025</w:t>
      </w:r>
      <w:r w:rsidR="00AA424D" w:rsidRPr="00BB3CA0">
        <w:rPr>
          <w:rFonts w:eastAsia="Times New Roman"/>
          <w:b/>
          <w:sz w:val="24"/>
          <w:lang w:val="en-GB" w:eastAsia="en-US"/>
        </w:rPr>
        <w:cr/>
      </w:r>
      <w:r w:rsidR="003D1CA1" w:rsidRPr="00E92628">
        <w:rPr>
          <w:rFonts w:eastAsia="Times New Roman"/>
          <w:b/>
          <w:sz w:val="24"/>
          <w:lang w:val="en-GB" w:eastAsia="en-US"/>
        </w:rPr>
        <w:cr/>
      </w:r>
    </w:p>
    <w:bookmarkEnd w:id="2"/>
    <w:p w14:paraId="6DC7E2FB" w14:textId="77777777" w:rsidR="006E5755" w:rsidRPr="00AA424D" w:rsidRDefault="006E5755" w:rsidP="006E5755">
      <w:pPr>
        <w:tabs>
          <w:tab w:val="left" w:pos="1985"/>
        </w:tabs>
        <w:spacing w:before="120" w:after="120"/>
        <w:rPr>
          <w:bCs w:val="0"/>
          <w:sz w:val="21"/>
          <w:szCs w:val="21"/>
        </w:rPr>
      </w:pPr>
      <w:r w:rsidRPr="00AA424D">
        <w:rPr>
          <w:bCs w:val="0"/>
          <w:sz w:val="21"/>
          <w:szCs w:val="21"/>
        </w:rPr>
        <w:t xml:space="preserve">Source: </w:t>
      </w:r>
      <w:r w:rsidRPr="00AA424D">
        <w:rPr>
          <w:bCs w:val="0"/>
          <w:sz w:val="21"/>
          <w:szCs w:val="21"/>
        </w:rPr>
        <w:tab/>
        <w:t>Xiaomi</w:t>
      </w:r>
    </w:p>
    <w:p w14:paraId="285B9E70" w14:textId="5C94A104" w:rsidR="006E5755" w:rsidRPr="00C12C92" w:rsidRDefault="006E5755" w:rsidP="006E5755">
      <w:pPr>
        <w:spacing w:before="120" w:after="120"/>
        <w:ind w:left="1985" w:hanging="1985"/>
        <w:rPr>
          <w:sz w:val="21"/>
          <w:szCs w:val="21"/>
        </w:rPr>
      </w:pPr>
      <w:r w:rsidRPr="00C12C92">
        <w:rPr>
          <w:b/>
          <w:sz w:val="21"/>
          <w:szCs w:val="21"/>
        </w:rPr>
        <w:t>Title:</w:t>
      </w:r>
      <w:r w:rsidRPr="00C12C92">
        <w:rPr>
          <w:sz w:val="21"/>
          <w:szCs w:val="21"/>
        </w:rPr>
        <w:t xml:space="preserve"> </w:t>
      </w:r>
      <w:r w:rsidRPr="00C12C92">
        <w:rPr>
          <w:sz w:val="21"/>
          <w:szCs w:val="21"/>
        </w:rPr>
        <w:tab/>
      </w:r>
      <w:r w:rsidR="00DE2BFD" w:rsidRPr="00C12C92">
        <w:rPr>
          <w:sz w:val="21"/>
          <w:szCs w:val="21"/>
        </w:rPr>
        <w:t>Discussion on other RRM requirement on Rel-19 MIMO phase 5</w:t>
      </w:r>
    </w:p>
    <w:p w14:paraId="5DD9EDDA" w14:textId="3688CA14" w:rsidR="006E5755" w:rsidRPr="00C12C92" w:rsidRDefault="006E5755" w:rsidP="006E5755">
      <w:pPr>
        <w:spacing w:before="120" w:after="120"/>
        <w:ind w:left="1985" w:hanging="1985"/>
        <w:rPr>
          <w:sz w:val="21"/>
          <w:szCs w:val="21"/>
          <w:highlight w:val="yellow"/>
        </w:rPr>
      </w:pPr>
      <w:r w:rsidRPr="00C12C92">
        <w:rPr>
          <w:b/>
          <w:sz w:val="21"/>
          <w:szCs w:val="21"/>
        </w:rPr>
        <w:t>Agenda Item:</w:t>
      </w:r>
      <w:r w:rsidRPr="00C12C92">
        <w:rPr>
          <w:sz w:val="21"/>
          <w:szCs w:val="21"/>
        </w:rPr>
        <w:tab/>
      </w:r>
      <w:r w:rsidR="00356EF6" w:rsidRPr="00C12C92">
        <w:rPr>
          <w:sz w:val="21"/>
          <w:szCs w:val="21"/>
        </w:rPr>
        <w:t>7</w:t>
      </w:r>
      <w:r w:rsidR="00DE2BFD" w:rsidRPr="00C12C92">
        <w:rPr>
          <w:sz w:val="21"/>
          <w:szCs w:val="21"/>
        </w:rPr>
        <w:t>.</w:t>
      </w:r>
      <w:r w:rsidR="003E6108" w:rsidRPr="00C12C92">
        <w:rPr>
          <w:sz w:val="21"/>
          <w:szCs w:val="21"/>
        </w:rPr>
        <w:t>2</w:t>
      </w:r>
      <w:r w:rsidR="007E350A">
        <w:rPr>
          <w:sz w:val="21"/>
          <w:szCs w:val="21"/>
        </w:rPr>
        <w:t>4</w:t>
      </w:r>
      <w:r w:rsidR="00DE2BFD" w:rsidRPr="00C12C92">
        <w:rPr>
          <w:sz w:val="21"/>
          <w:szCs w:val="21"/>
        </w:rPr>
        <w:t>.</w:t>
      </w:r>
      <w:r w:rsidR="007E350A">
        <w:rPr>
          <w:sz w:val="21"/>
          <w:szCs w:val="21"/>
        </w:rPr>
        <w:t>4</w:t>
      </w:r>
      <w:r w:rsidR="00DE2BFD" w:rsidRPr="00C12C92">
        <w:rPr>
          <w:sz w:val="21"/>
          <w:szCs w:val="21"/>
        </w:rPr>
        <w:t>.2</w:t>
      </w:r>
    </w:p>
    <w:p w14:paraId="0C86A2C2" w14:textId="77777777" w:rsidR="006E5755" w:rsidRPr="00C12C92" w:rsidRDefault="006E5755" w:rsidP="006E5755">
      <w:pPr>
        <w:tabs>
          <w:tab w:val="left" w:pos="1990"/>
        </w:tabs>
        <w:spacing w:before="120" w:after="120"/>
        <w:rPr>
          <w:sz w:val="21"/>
          <w:szCs w:val="21"/>
        </w:rPr>
      </w:pPr>
      <w:r w:rsidRPr="00C12C92">
        <w:rPr>
          <w:b/>
          <w:sz w:val="21"/>
          <w:szCs w:val="21"/>
        </w:rPr>
        <w:t>Document for:</w:t>
      </w:r>
      <w:r w:rsidRPr="00C12C92">
        <w:rPr>
          <w:sz w:val="21"/>
          <w:szCs w:val="21"/>
        </w:rPr>
        <w:tab/>
        <w:t>Discussion</w:t>
      </w:r>
    </w:p>
    <w:bookmarkEnd w:id="0"/>
    <w:bookmarkEnd w:id="1"/>
    <w:p w14:paraId="241EA8CC" w14:textId="77777777" w:rsidR="006E5755" w:rsidRPr="00BE546A" w:rsidRDefault="006E5755" w:rsidP="006E5755">
      <w:pPr>
        <w:keepNext/>
        <w:keepLines/>
        <w:pBdr>
          <w:top w:val="single" w:sz="12" w:space="3" w:color="auto"/>
        </w:pBdr>
        <w:overflowPunct w:val="0"/>
        <w:autoSpaceDE w:val="0"/>
        <w:autoSpaceDN w:val="0"/>
        <w:adjustRightInd w:val="0"/>
        <w:spacing w:before="120" w:after="120"/>
        <w:textAlignment w:val="baseline"/>
        <w:outlineLvl w:val="0"/>
        <w:rPr>
          <w:sz w:val="36"/>
          <w:szCs w:val="20"/>
          <w:lang w:val="en-GB"/>
        </w:rPr>
      </w:pPr>
      <w:r w:rsidRPr="00BE546A">
        <w:rPr>
          <w:sz w:val="36"/>
          <w:szCs w:val="20"/>
          <w:lang w:val="en-GB"/>
        </w:rPr>
        <w:t>1 Introduction</w:t>
      </w:r>
    </w:p>
    <w:p w14:paraId="473E560D" w14:textId="37C0739D" w:rsidR="006E5755" w:rsidRPr="00BE546A" w:rsidRDefault="00AD7A2C" w:rsidP="006E5755">
      <w:pPr>
        <w:overflowPunct w:val="0"/>
        <w:autoSpaceDE w:val="0"/>
        <w:autoSpaceDN w:val="0"/>
        <w:adjustRightInd w:val="0"/>
        <w:spacing w:before="120" w:after="120" w:line="288" w:lineRule="auto"/>
        <w:textAlignment w:val="baseline"/>
        <w:rPr>
          <w:szCs w:val="20"/>
          <w:lang w:val="en-GB"/>
        </w:rPr>
      </w:pPr>
      <w:r w:rsidRPr="00BE546A">
        <w:rPr>
          <w:szCs w:val="20"/>
          <w:lang w:val="en-GB"/>
        </w:rPr>
        <w:t xml:space="preserve">In this contribution, we will </w:t>
      </w:r>
      <w:r w:rsidR="00F83C06" w:rsidRPr="00BE546A">
        <w:rPr>
          <w:szCs w:val="20"/>
          <w:lang w:val="en-GB"/>
        </w:rPr>
        <w:t>mainly</w:t>
      </w:r>
      <w:r w:rsidRPr="00BE546A">
        <w:rPr>
          <w:szCs w:val="20"/>
          <w:lang w:val="en-GB"/>
        </w:rPr>
        <w:t xml:space="preserve"> discuss the </w:t>
      </w:r>
      <w:r w:rsidR="00502AC1" w:rsidRPr="00BE546A">
        <w:rPr>
          <w:szCs w:val="20"/>
          <w:lang w:val="en-GB"/>
        </w:rPr>
        <w:t>following issues</w:t>
      </w:r>
      <w:r w:rsidR="00F83C06" w:rsidRPr="00BE546A">
        <w:rPr>
          <w:szCs w:val="20"/>
          <w:lang w:val="en-GB"/>
        </w:rPr>
        <w:t xml:space="preserve"> for Rel-19 MIMO</w:t>
      </w:r>
      <w:r w:rsidR="00101503" w:rsidRPr="00BE546A">
        <w:rPr>
          <w:szCs w:val="20"/>
          <w:lang w:val="en-GB"/>
        </w:rPr>
        <w:t xml:space="preserve"> phase 5</w:t>
      </w:r>
      <w:r w:rsidR="00F83C06" w:rsidRPr="00BE546A">
        <w:rPr>
          <w:szCs w:val="20"/>
          <w:lang w:val="en-GB"/>
        </w:rPr>
        <w:t>.</w:t>
      </w:r>
    </w:p>
    <w:tbl>
      <w:tblPr>
        <w:tblStyle w:val="a4"/>
        <w:tblW w:w="0" w:type="auto"/>
        <w:tblLook w:val="04A0" w:firstRow="1" w:lastRow="0" w:firstColumn="1" w:lastColumn="0" w:noHBand="0" w:noVBand="1"/>
      </w:tblPr>
      <w:tblGrid>
        <w:gridCol w:w="10478"/>
      </w:tblGrid>
      <w:tr w:rsidR="0048248B" w:rsidRPr="00BE546A" w14:paraId="68386A91" w14:textId="77777777" w:rsidTr="0048248B">
        <w:tc>
          <w:tcPr>
            <w:tcW w:w="10478" w:type="dxa"/>
          </w:tcPr>
          <w:p w14:paraId="08EA85E8" w14:textId="76E5D424" w:rsidR="0048248B" w:rsidRPr="00BE546A" w:rsidRDefault="00767E02" w:rsidP="00A46F60">
            <w:pPr>
              <w:pStyle w:val="a5"/>
              <w:numPr>
                <w:ilvl w:val="0"/>
                <w:numId w:val="9"/>
              </w:numPr>
              <w:overflowPunct w:val="0"/>
              <w:autoSpaceDE w:val="0"/>
              <w:autoSpaceDN w:val="0"/>
              <w:adjustRightInd w:val="0"/>
              <w:spacing w:before="120" w:after="120" w:line="288" w:lineRule="auto"/>
              <w:ind w:firstLineChars="0"/>
              <w:textAlignment w:val="baseline"/>
              <w:rPr>
                <w:lang w:val="en-GB"/>
              </w:rPr>
            </w:pPr>
            <w:r w:rsidRPr="00BE546A">
              <w:rPr>
                <w:lang w:val="en-GB"/>
              </w:rPr>
              <w:t xml:space="preserve">UL TCI state activation in </w:t>
            </w:r>
            <w:r w:rsidR="0048248B" w:rsidRPr="00BE546A">
              <w:rPr>
                <w:lang w:val="en-GB"/>
              </w:rPr>
              <w:t>Asymmetric DL sTRP/UL mTRP</w:t>
            </w:r>
          </w:p>
          <w:p w14:paraId="0E40D502" w14:textId="4AF08FD5" w:rsidR="00767E02" w:rsidRPr="00BE546A" w:rsidRDefault="00767E02" w:rsidP="00767E02">
            <w:pPr>
              <w:pStyle w:val="a5"/>
              <w:numPr>
                <w:ilvl w:val="0"/>
                <w:numId w:val="9"/>
              </w:numPr>
              <w:overflowPunct w:val="0"/>
              <w:autoSpaceDE w:val="0"/>
              <w:autoSpaceDN w:val="0"/>
              <w:adjustRightInd w:val="0"/>
              <w:spacing w:before="120" w:after="120" w:line="288" w:lineRule="auto"/>
              <w:ind w:firstLineChars="0"/>
              <w:textAlignment w:val="baseline"/>
              <w:rPr>
                <w:lang w:val="en-GB"/>
              </w:rPr>
            </w:pPr>
            <w:r w:rsidRPr="00BE546A">
              <w:rPr>
                <w:lang w:val="en-GB"/>
              </w:rPr>
              <w:t>Two TAs in Asymmetric DL sTRP/UL mTRP</w:t>
            </w:r>
          </w:p>
        </w:tc>
      </w:tr>
    </w:tbl>
    <w:p w14:paraId="56233461" w14:textId="11554C03" w:rsidR="00CD3E9B" w:rsidRPr="00BE546A" w:rsidRDefault="006E5755" w:rsidP="00CD3E9B">
      <w:pPr>
        <w:pStyle w:val="a5"/>
        <w:keepNext/>
        <w:keepLines/>
        <w:numPr>
          <w:ilvl w:val="0"/>
          <w:numId w:val="1"/>
        </w:numPr>
        <w:pBdr>
          <w:top w:val="single" w:sz="12" w:space="3" w:color="auto"/>
        </w:pBdr>
        <w:overflowPunct w:val="0"/>
        <w:autoSpaceDE w:val="0"/>
        <w:autoSpaceDN w:val="0"/>
        <w:adjustRightInd w:val="0"/>
        <w:spacing w:before="120" w:after="120"/>
        <w:ind w:firstLineChars="0"/>
        <w:textAlignment w:val="baseline"/>
        <w:outlineLvl w:val="0"/>
        <w:rPr>
          <w:sz w:val="36"/>
          <w:szCs w:val="20"/>
          <w:lang w:val="en-GB"/>
        </w:rPr>
      </w:pPr>
      <w:r w:rsidRPr="00BE546A">
        <w:rPr>
          <w:sz w:val="36"/>
          <w:szCs w:val="20"/>
          <w:lang w:val="en-GB"/>
        </w:rPr>
        <w:t>Discussion</w:t>
      </w:r>
    </w:p>
    <w:p w14:paraId="469CA559" w14:textId="72928708" w:rsidR="00C138DD" w:rsidRPr="00BE546A" w:rsidRDefault="00C138DD" w:rsidP="00C138DD">
      <w:pPr>
        <w:pStyle w:val="2"/>
        <w:keepNext/>
        <w:keepLines/>
        <w:suppressAutoHyphens w:val="0"/>
        <w:overflowPunct w:val="0"/>
        <w:autoSpaceDE w:val="0"/>
        <w:autoSpaceDN w:val="0"/>
        <w:adjustRightInd w:val="0"/>
        <w:spacing w:before="120" w:after="120"/>
        <w:ind w:left="576" w:hanging="576"/>
        <w:textAlignment w:val="baseline"/>
        <w:rPr>
          <w:rFonts w:ascii="Times New Roman" w:eastAsia="Times New Roman" w:hAnsi="Times New Roman" w:cs="Times New Roman"/>
          <w:szCs w:val="24"/>
          <w:lang w:eastAsia="en-US"/>
        </w:rPr>
      </w:pPr>
      <w:r w:rsidRPr="00BE546A">
        <w:rPr>
          <w:rFonts w:ascii="Times New Roman" w:eastAsia="宋体" w:hAnsi="Times New Roman" w:cs="Times New Roman"/>
          <w:sz w:val="30"/>
          <w:szCs w:val="30"/>
        </w:rPr>
        <w:t>2.</w:t>
      </w:r>
      <w:r w:rsidR="00C3094A" w:rsidRPr="00BE546A">
        <w:rPr>
          <w:rFonts w:ascii="Times New Roman" w:eastAsia="宋体" w:hAnsi="Times New Roman" w:cs="Times New Roman"/>
          <w:sz w:val="30"/>
          <w:szCs w:val="30"/>
        </w:rPr>
        <w:t>1</w:t>
      </w:r>
      <w:r w:rsidRPr="00BE546A">
        <w:rPr>
          <w:rFonts w:ascii="Times New Roman" w:eastAsia="宋体" w:hAnsi="Times New Roman" w:cs="Times New Roman"/>
          <w:sz w:val="30"/>
          <w:szCs w:val="30"/>
        </w:rPr>
        <w:t xml:space="preserve"> </w:t>
      </w:r>
      <w:r w:rsidRPr="00BE546A">
        <w:rPr>
          <w:rFonts w:ascii="Times New Roman" w:eastAsia="Times New Roman" w:hAnsi="Times New Roman" w:cs="Times New Roman"/>
          <w:szCs w:val="24"/>
          <w:lang w:eastAsia="en-US"/>
        </w:rPr>
        <w:t>Asymmetric DL sTRP/UL mTRP</w:t>
      </w:r>
    </w:p>
    <w:tbl>
      <w:tblPr>
        <w:tblStyle w:val="a4"/>
        <w:tblW w:w="0" w:type="auto"/>
        <w:tblLook w:val="04A0" w:firstRow="1" w:lastRow="0" w:firstColumn="1" w:lastColumn="0" w:noHBand="0" w:noVBand="1"/>
      </w:tblPr>
      <w:tblGrid>
        <w:gridCol w:w="10478"/>
      </w:tblGrid>
      <w:tr w:rsidR="00CF2838" w:rsidRPr="00BE546A" w14:paraId="32A99A30" w14:textId="77777777" w:rsidTr="00CF2838">
        <w:tc>
          <w:tcPr>
            <w:tcW w:w="10478" w:type="dxa"/>
          </w:tcPr>
          <w:p w14:paraId="2F8CE500" w14:textId="77777777" w:rsidR="00CF2838" w:rsidRPr="00BE546A" w:rsidRDefault="00CF2838" w:rsidP="00CF2838">
            <w:pPr>
              <w:spacing w:before="120" w:after="120"/>
              <w:rPr>
                <w:b/>
                <w:u w:val="single"/>
                <w:lang w:eastAsia="ko-KR"/>
              </w:rPr>
            </w:pPr>
            <w:r w:rsidRPr="00BE546A">
              <w:rPr>
                <w:b/>
                <w:u w:val="single"/>
                <w:lang w:eastAsia="ko-KR"/>
              </w:rPr>
              <w:t>Issue 2-1: For Scenario#2, how to update the RRM requirements for 2TA enhancement for asymmetric DL sTRP/ UL mTRP?</w:t>
            </w:r>
          </w:p>
          <w:p w14:paraId="4B3A085E" w14:textId="77777777" w:rsidR="00CF2838" w:rsidRPr="00BE546A" w:rsidRDefault="00CF2838" w:rsidP="00CF2838">
            <w:pPr>
              <w:spacing w:before="120" w:after="120"/>
              <w:rPr>
                <w:b/>
                <w:u w:val="single"/>
                <w:lang w:eastAsia="ko-KR"/>
              </w:rPr>
            </w:pPr>
            <w:r w:rsidRPr="00BE546A">
              <w:rPr>
                <w:rFonts w:eastAsia="等线"/>
                <w:szCs w:val="21"/>
              </w:rPr>
              <w:t>Agreement:</w:t>
            </w:r>
          </w:p>
          <w:p w14:paraId="4C109179" w14:textId="5B9E27DF" w:rsidR="00CF2838" w:rsidRPr="00BE546A" w:rsidRDefault="00CF2838" w:rsidP="00CF2838">
            <w:pPr>
              <w:numPr>
                <w:ilvl w:val="0"/>
                <w:numId w:val="3"/>
              </w:numPr>
              <w:autoSpaceDN w:val="0"/>
              <w:spacing w:before="120" w:after="120"/>
              <w:ind w:left="360"/>
              <w:rPr>
                <w:b/>
                <w:u w:val="single"/>
                <w:lang w:eastAsia="ko-KR"/>
              </w:rPr>
            </w:pPr>
            <w:r w:rsidRPr="00BE546A">
              <w:t>Wait for RAN1 reply to the LS on whether the existing agreement for a single downlink timing reference is extended to Scenario#2.</w:t>
            </w:r>
          </w:p>
        </w:tc>
      </w:tr>
    </w:tbl>
    <w:p w14:paraId="78777193" w14:textId="63D8C4A7" w:rsidR="00CF2838" w:rsidRPr="00BE546A" w:rsidRDefault="00CF2838" w:rsidP="00CF2838">
      <w:pPr>
        <w:spacing w:before="120" w:after="120"/>
        <w:rPr>
          <w:lang w:val="en-GB"/>
        </w:rPr>
      </w:pPr>
      <w:r w:rsidRPr="00BE546A">
        <w:rPr>
          <w:lang w:val="en-GB"/>
        </w:rPr>
        <w:t xml:space="preserve">The RAN1 reply LS is </w:t>
      </w:r>
      <w:r w:rsidR="00E2725D" w:rsidRPr="00BE546A">
        <w:rPr>
          <w:lang w:val="en-GB"/>
        </w:rPr>
        <w:t>as below:</w:t>
      </w:r>
    </w:p>
    <w:tbl>
      <w:tblPr>
        <w:tblStyle w:val="a4"/>
        <w:tblW w:w="0" w:type="auto"/>
        <w:tblLook w:val="04A0" w:firstRow="1" w:lastRow="0" w:firstColumn="1" w:lastColumn="0" w:noHBand="0" w:noVBand="1"/>
      </w:tblPr>
      <w:tblGrid>
        <w:gridCol w:w="10478"/>
      </w:tblGrid>
      <w:tr w:rsidR="00E2725D" w:rsidRPr="00BE546A" w14:paraId="08403A76" w14:textId="77777777" w:rsidTr="00E2725D">
        <w:tc>
          <w:tcPr>
            <w:tcW w:w="10478" w:type="dxa"/>
          </w:tcPr>
          <w:p w14:paraId="230F79AA" w14:textId="77777777" w:rsidR="00E2725D" w:rsidRPr="00BE546A" w:rsidRDefault="00E2725D" w:rsidP="00E2725D">
            <w:pPr>
              <w:spacing w:before="120" w:after="120"/>
              <w:rPr>
                <w:rFonts w:eastAsia="PMingLiU"/>
                <w:b/>
                <w:bCs w:val="0"/>
                <w:lang w:eastAsia="zh-TW"/>
              </w:rPr>
            </w:pPr>
            <w:r w:rsidRPr="00BE546A">
              <w:rPr>
                <w:rFonts w:eastAsia="PMingLiU"/>
                <w:b/>
                <w:bCs w:val="0"/>
                <w:highlight w:val="green"/>
                <w:lang w:eastAsia="zh-TW"/>
              </w:rPr>
              <w:t>Agreement:</w:t>
            </w:r>
          </w:p>
          <w:p w14:paraId="23BB3C76" w14:textId="77777777" w:rsidR="00E2725D" w:rsidRPr="00BE546A" w:rsidRDefault="00E2725D" w:rsidP="00E2725D">
            <w:pPr>
              <w:numPr>
                <w:ilvl w:val="0"/>
                <w:numId w:val="18"/>
              </w:numPr>
              <w:spacing w:before="120" w:after="120" w:line="278" w:lineRule="auto"/>
              <w:rPr>
                <w:rFonts w:eastAsia="Calibri"/>
                <w:szCs w:val="24"/>
              </w:rPr>
            </w:pPr>
            <w:r w:rsidRPr="00BE546A">
              <w:rPr>
                <w:rFonts w:eastAsia="Calibri"/>
                <w:szCs w:val="24"/>
              </w:rPr>
              <w:t>For the scenario that the UE is configured with PL offset in joint/UL TCI state(s), when the UE is configured with rel-19 2 TAs, the UE maintains one single downlink reference timing</w:t>
            </w:r>
          </w:p>
          <w:p w14:paraId="610B3C34" w14:textId="77777777" w:rsidR="00E2725D" w:rsidRPr="00BE546A" w:rsidRDefault="00E2725D" w:rsidP="00E2725D">
            <w:pPr>
              <w:numPr>
                <w:ilvl w:val="0"/>
                <w:numId w:val="18"/>
              </w:numPr>
              <w:spacing w:before="120" w:after="120" w:line="278" w:lineRule="auto"/>
              <w:rPr>
                <w:rFonts w:eastAsia="Calibri"/>
                <w:szCs w:val="24"/>
              </w:rPr>
            </w:pPr>
            <w:r w:rsidRPr="00BE546A">
              <w:rPr>
                <w:rFonts w:eastAsia="Calibri"/>
                <w:szCs w:val="24"/>
              </w:rPr>
              <w:t>For the scenario that the UE is not configured with PL offset in joint/UL TCI state(s) and UE may expect to receive SSB from UL TRP(s), when the UE is configured with rel-19 2 TAs:</w:t>
            </w:r>
          </w:p>
          <w:p w14:paraId="07117FB8" w14:textId="77777777" w:rsidR="00E2725D" w:rsidRPr="00BE546A" w:rsidRDefault="00E2725D" w:rsidP="00E2725D">
            <w:pPr>
              <w:numPr>
                <w:ilvl w:val="1"/>
                <w:numId w:val="18"/>
              </w:numPr>
              <w:spacing w:before="120" w:after="120" w:line="278" w:lineRule="auto"/>
              <w:rPr>
                <w:rFonts w:eastAsia="Calibri"/>
                <w:szCs w:val="24"/>
              </w:rPr>
            </w:pPr>
            <w:r w:rsidRPr="00BE546A">
              <w:rPr>
                <w:rFonts w:eastAsia="Calibri"/>
                <w:szCs w:val="24"/>
              </w:rPr>
              <w:t>The UE maintains two downlink reference timings;</w:t>
            </w:r>
          </w:p>
          <w:p w14:paraId="455D6DBE" w14:textId="77777777" w:rsidR="00E2725D" w:rsidRPr="00BE546A" w:rsidRDefault="00E2725D" w:rsidP="00E2725D">
            <w:pPr>
              <w:numPr>
                <w:ilvl w:val="1"/>
                <w:numId w:val="18"/>
              </w:numPr>
              <w:spacing w:before="120" w:after="120" w:line="278" w:lineRule="auto"/>
              <w:rPr>
                <w:rFonts w:eastAsia="Calibri"/>
                <w:szCs w:val="24"/>
              </w:rPr>
            </w:pPr>
            <w:r w:rsidRPr="00BE546A">
              <w:rPr>
                <w:rFonts w:eastAsia="Calibri"/>
                <w:szCs w:val="24"/>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2C47D8D5" w14:textId="77777777" w:rsidR="00E2725D" w:rsidRPr="00BE546A" w:rsidRDefault="00E2725D" w:rsidP="00E2725D">
            <w:pPr>
              <w:numPr>
                <w:ilvl w:val="1"/>
                <w:numId w:val="18"/>
              </w:numPr>
              <w:spacing w:before="120" w:after="120" w:line="278" w:lineRule="auto"/>
              <w:rPr>
                <w:rFonts w:eastAsia="Calibri"/>
                <w:szCs w:val="24"/>
              </w:rPr>
            </w:pPr>
            <w:r w:rsidRPr="00BE546A">
              <w:rPr>
                <w:rFonts w:eastAsia="PMingLiU"/>
                <w:szCs w:val="24"/>
                <w:lang w:eastAsia="zh-TW"/>
              </w:rPr>
              <w:t>T</w:t>
            </w:r>
            <w:r w:rsidRPr="00BE546A">
              <w:rPr>
                <w:rFonts w:eastAsia="Calibri"/>
                <w:szCs w:val="24"/>
              </w:rPr>
              <w:t>he reference point for PRACH transmission is indicated as follows:</w:t>
            </w:r>
          </w:p>
          <w:p w14:paraId="5B562FCE" w14:textId="77777777" w:rsidR="00E2725D" w:rsidRPr="00BE546A" w:rsidRDefault="00E2725D" w:rsidP="00E2725D">
            <w:pPr>
              <w:numPr>
                <w:ilvl w:val="2"/>
                <w:numId w:val="18"/>
              </w:numPr>
              <w:spacing w:before="120" w:after="120" w:line="278" w:lineRule="auto"/>
              <w:rPr>
                <w:rFonts w:eastAsia="Calibri"/>
                <w:szCs w:val="24"/>
              </w:rPr>
            </w:pPr>
            <w:r w:rsidRPr="00BE546A">
              <w:rPr>
                <w:rFonts w:eastAsia="Calibri"/>
                <w:szCs w:val="24"/>
              </w:rPr>
              <w:t xml:space="preserve">if “PRACH association indicator” in DCI format 1_0 is 0, the reference timing is the first detected path (in time) of one of the corresponding downlink reference </w:t>
            </w:r>
            <w:proofErr w:type="gramStart"/>
            <w:r w:rsidRPr="00BE546A">
              <w:rPr>
                <w:rFonts w:eastAsia="Calibri"/>
                <w:szCs w:val="24"/>
              </w:rPr>
              <w:t>signal</w:t>
            </w:r>
            <w:proofErr w:type="gramEnd"/>
            <w:r w:rsidRPr="00BE546A">
              <w:rPr>
                <w:rFonts w:eastAsia="Calibri"/>
                <w:szCs w:val="24"/>
              </w:rPr>
              <w:t>(s) of DL TCI state(s) of the reference cell associated with the first TAG.</w:t>
            </w:r>
          </w:p>
          <w:p w14:paraId="1474D62B" w14:textId="77777777" w:rsidR="00E2725D" w:rsidRPr="00BE546A" w:rsidRDefault="00E2725D" w:rsidP="00E2725D">
            <w:pPr>
              <w:numPr>
                <w:ilvl w:val="2"/>
                <w:numId w:val="18"/>
              </w:numPr>
              <w:spacing w:before="120" w:after="120" w:line="278" w:lineRule="auto"/>
              <w:contextualSpacing/>
              <w:rPr>
                <w:rFonts w:eastAsia="等线"/>
                <w:kern w:val="2"/>
                <w:szCs w:val="24"/>
              </w:rPr>
            </w:pPr>
            <w:r w:rsidRPr="00BE546A">
              <w:rPr>
                <w:rFonts w:eastAsia="Yu Mincho"/>
              </w:rPr>
              <w:t xml:space="preserve">if “PRACH association indicator” in DCI format 1_0 is 1, the reference timing is the first detected path (in time) of one of the corresponding downlink reference </w:t>
            </w:r>
            <w:proofErr w:type="gramStart"/>
            <w:r w:rsidRPr="00BE546A">
              <w:rPr>
                <w:rFonts w:eastAsia="Yu Mincho"/>
              </w:rPr>
              <w:t>signal</w:t>
            </w:r>
            <w:proofErr w:type="gramEnd"/>
            <w:r w:rsidRPr="00BE546A">
              <w:rPr>
                <w:rFonts w:eastAsia="Yu Mincho"/>
              </w:rPr>
              <w:t>(s) of DL TCI state(s) of the reference cell associated with the second TAG</w:t>
            </w:r>
          </w:p>
          <w:p w14:paraId="36DE466B" w14:textId="6148EB6A" w:rsidR="00E2725D" w:rsidRPr="00BE546A" w:rsidRDefault="00E2725D" w:rsidP="00E2725D">
            <w:pPr>
              <w:spacing w:before="120" w:after="120"/>
              <w:rPr>
                <w:lang w:val="en-GB" w:eastAsia="en-US"/>
              </w:rPr>
            </w:pPr>
            <w:r w:rsidRPr="00BE546A">
              <w:rPr>
                <w:rFonts w:eastAsia="Calibri"/>
                <w:szCs w:val="24"/>
              </w:rPr>
              <w:t xml:space="preserve">Above applies for the case UE is configured with </w:t>
            </w:r>
            <w:r w:rsidRPr="00BE546A">
              <w:rPr>
                <w:rFonts w:eastAsia="Calibri"/>
                <w:i/>
                <w:iCs/>
                <w:szCs w:val="24"/>
              </w:rPr>
              <w:t>SSB-MTC-additionalPCI</w:t>
            </w:r>
          </w:p>
        </w:tc>
      </w:tr>
    </w:tbl>
    <w:p w14:paraId="3C3ACCFF" w14:textId="2A1133AC" w:rsidR="00CF2838" w:rsidRPr="00BE546A" w:rsidRDefault="00E2725D" w:rsidP="00D34CA7">
      <w:pPr>
        <w:spacing w:before="120" w:after="120"/>
        <w:rPr>
          <w:rFonts w:eastAsiaTheme="minorEastAsia"/>
          <w:b/>
          <w:bCs w:val="0"/>
        </w:rPr>
      </w:pPr>
      <w:r w:rsidRPr="00BE546A">
        <w:rPr>
          <w:b/>
          <w:bCs w:val="0"/>
        </w:rPr>
        <w:lastRenderedPageBreak/>
        <w:t>Observation 1: From RAN1 reply LS, f</w:t>
      </w:r>
      <w:r w:rsidRPr="00BE546A">
        <w:rPr>
          <w:rFonts w:eastAsiaTheme="minorEastAsia"/>
          <w:b/>
          <w:bCs w:val="0"/>
        </w:rPr>
        <w:t>or the scenario that the UE is not configured with PL offset in joint/UL TCI state(s), UE maintains two downlink reference timings.</w:t>
      </w:r>
    </w:p>
    <w:p w14:paraId="520FC8DA" w14:textId="3723CAFF" w:rsidR="002E154F" w:rsidRPr="00BE546A" w:rsidRDefault="002E154F" w:rsidP="002E154F">
      <w:pPr>
        <w:spacing w:afterLines="50" w:after="120"/>
      </w:pPr>
      <w:r w:rsidRPr="00BE546A">
        <w:t>Similar as discussion in legacy two TA reference timing, there are two steps to decide the timing:</w:t>
      </w:r>
    </w:p>
    <w:p w14:paraId="732F5A1F" w14:textId="0AFDE7AE" w:rsidR="002E154F" w:rsidRPr="00BE546A" w:rsidRDefault="002E154F" w:rsidP="002E154F">
      <w:pPr>
        <w:pStyle w:val="a5"/>
        <w:numPr>
          <w:ilvl w:val="0"/>
          <w:numId w:val="9"/>
        </w:numPr>
        <w:spacing w:afterLines="50" w:after="120"/>
        <w:ind w:left="357" w:firstLineChars="0" w:hanging="357"/>
      </w:pPr>
      <w:r w:rsidRPr="00BE546A">
        <w:t>Reference cell</w:t>
      </w:r>
    </w:p>
    <w:p w14:paraId="17ADD11C" w14:textId="2BB5436E" w:rsidR="002E154F" w:rsidRPr="00BE546A" w:rsidRDefault="002E154F" w:rsidP="002E154F">
      <w:pPr>
        <w:pStyle w:val="a5"/>
        <w:numPr>
          <w:ilvl w:val="0"/>
          <w:numId w:val="9"/>
        </w:numPr>
        <w:spacing w:before="120" w:after="120"/>
        <w:ind w:firstLineChars="0"/>
      </w:pPr>
      <w:r w:rsidRPr="00BE546A">
        <w:t xml:space="preserve">DL reference </w:t>
      </w:r>
      <w:r w:rsidR="009032A6">
        <w:t>point</w:t>
      </w:r>
      <w:r w:rsidRPr="00BE546A">
        <w:t xml:space="preserve"> of the reference cell</w:t>
      </w:r>
    </w:p>
    <w:p w14:paraId="091F66EB" w14:textId="543E2F8A" w:rsidR="002E154F" w:rsidRPr="00BE546A" w:rsidRDefault="004C4EDF" w:rsidP="009032A6">
      <w:pPr>
        <w:spacing w:before="240" w:after="240"/>
        <w:rPr>
          <w:u w:val="single"/>
        </w:rPr>
      </w:pPr>
      <w:r w:rsidRPr="00BE546A">
        <w:rPr>
          <w:u w:val="single"/>
        </w:rPr>
        <w:t>Reference cell</w:t>
      </w:r>
    </w:p>
    <w:p w14:paraId="70B2AF33" w14:textId="78994A01" w:rsidR="00C3601B" w:rsidRPr="00BE546A" w:rsidRDefault="00C3601B" w:rsidP="00CF2838">
      <w:pPr>
        <w:spacing w:before="120" w:after="120"/>
      </w:pPr>
      <w:r w:rsidRPr="00BE546A">
        <w:t>In legacy two TA in mDCI, the reference cell is defined as below:</w:t>
      </w:r>
    </w:p>
    <w:tbl>
      <w:tblPr>
        <w:tblStyle w:val="a4"/>
        <w:tblW w:w="0" w:type="auto"/>
        <w:tblInd w:w="357" w:type="dxa"/>
        <w:tblLook w:val="04A0" w:firstRow="1" w:lastRow="0" w:firstColumn="1" w:lastColumn="0" w:noHBand="0" w:noVBand="1"/>
      </w:tblPr>
      <w:tblGrid>
        <w:gridCol w:w="10121"/>
      </w:tblGrid>
      <w:tr w:rsidR="00C3601B" w:rsidRPr="00BE546A" w14:paraId="71A1C5D0" w14:textId="77777777" w:rsidTr="00C3601B">
        <w:tc>
          <w:tcPr>
            <w:tcW w:w="10478" w:type="dxa"/>
          </w:tcPr>
          <w:p w14:paraId="5A00F41C" w14:textId="662EAF20" w:rsidR="00C3601B" w:rsidRPr="00BE546A" w:rsidRDefault="00C3601B" w:rsidP="00CF2838">
            <w:pPr>
              <w:spacing w:before="120" w:after="120"/>
            </w:pPr>
            <w:r w:rsidRPr="00BE546A">
              <w:t xml:space="preserve">For </w:t>
            </w:r>
            <w:r w:rsidRPr="00BE546A">
              <w:rPr>
                <w:lang w:eastAsia="ja-JP"/>
              </w:rPr>
              <w:t xml:space="preserve">serving cell(s) in </w:t>
            </w:r>
            <w:r w:rsidRPr="00BE546A">
              <w:t xml:space="preserve">pTAG, UE shall use the SpCell as the reference cell for deriving the UE transmit timing for cells in the pTAG. </w:t>
            </w:r>
            <w:r w:rsidRPr="00BE546A">
              <w:rPr>
                <w:lang w:eastAsia="ja-JP"/>
              </w:rPr>
              <w:t xml:space="preserve">For serving cell(s) in </w:t>
            </w:r>
            <w:r w:rsidRPr="00BE546A">
              <w:t>s</w:t>
            </w:r>
            <w:r w:rsidRPr="00BE546A">
              <w:rPr>
                <w:lang w:eastAsia="ja-JP"/>
              </w:rPr>
              <w:t xml:space="preserve">TAG, </w:t>
            </w:r>
            <w:r w:rsidRPr="00BE546A">
              <w:t xml:space="preserve">UE shall use any of the </w:t>
            </w:r>
            <w:r w:rsidRPr="00BE546A">
              <w:rPr>
                <w:lang w:eastAsia="ja-JP"/>
              </w:rPr>
              <w:t xml:space="preserve">activated SCells </w:t>
            </w:r>
            <w:r w:rsidRPr="00BE546A">
              <w:t xml:space="preserve">as the reference cell for deriving the UE transmit timing for </w:t>
            </w:r>
            <w:r w:rsidRPr="00BE546A">
              <w:rPr>
                <w:lang w:eastAsia="ja-JP"/>
              </w:rPr>
              <w:t xml:space="preserve">the </w:t>
            </w:r>
            <w:r w:rsidRPr="00BE546A">
              <w:t>cells in the sTAG.</w:t>
            </w:r>
          </w:p>
        </w:tc>
      </w:tr>
    </w:tbl>
    <w:p w14:paraId="0D8AC07D" w14:textId="77777777" w:rsidR="00C3601B" w:rsidRPr="00BE546A" w:rsidRDefault="00C3601B" w:rsidP="00CF2838">
      <w:pPr>
        <w:spacing w:before="120" w:after="120"/>
      </w:pPr>
      <w:r w:rsidRPr="00BE546A">
        <w:t xml:space="preserve">The reference cell will be SpCell or SCells which will be configured with DL data transmission, </w:t>
      </w:r>
      <w:proofErr w:type="gramStart"/>
      <w:r w:rsidRPr="00BE546A">
        <w:t>i.e.</w:t>
      </w:r>
      <w:proofErr w:type="gramEnd"/>
      <w:r w:rsidRPr="00BE546A">
        <w:t xml:space="preserve"> PDCCH/PDSCH.</w:t>
      </w:r>
    </w:p>
    <w:p w14:paraId="2BB90C04" w14:textId="4C03074B" w:rsidR="00C3601B" w:rsidRPr="00BE546A" w:rsidRDefault="00C3601B" w:rsidP="00CF2838">
      <w:pPr>
        <w:spacing w:before="120" w:after="120"/>
      </w:pPr>
      <w:r w:rsidRPr="00BE546A">
        <w:t>While for scenario 2, the reference cell in the same TAG may not be configured with PDCCH/PDSCH transmission. It’s possible that the reference cell will only transmit SSB.</w:t>
      </w:r>
    </w:p>
    <w:p w14:paraId="0CE9F01E" w14:textId="58D1475B" w:rsidR="002E154F" w:rsidRPr="00BE546A" w:rsidRDefault="00C3601B" w:rsidP="00CF2838">
      <w:pPr>
        <w:spacing w:before="120" w:after="120"/>
      </w:pPr>
      <w:r w:rsidRPr="00BE546A">
        <w:t>For scenario 2, t</w:t>
      </w:r>
      <w:r w:rsidR="004C4EDF" w:rsidRPr="00BE546A">
        <w:t xml:space="preserve">here are two </w:t>
      </w:r>
      <w:r w:rsidR="00102BB1" w:rsidRPr="00BE546A">
        <w:t>types of</w:t>
      </w:r>
      <w:r w:rsidR="00C946E0" w:rsidRPr="00BE546A">
        <w:t xml:space="preserve"> DL reference cell</w:t>
      </w:r>
      <w:r w:rsidR="004C4EDF" w:rsidRPr="00BE546A">
        <w:t>:</w:t>
      </w:r>
    </w:p>
    <w:p w14:paraId="2E0271F3" w14:textId="0E92E71C" w:rsidR="004C4EDF" w:rsidRPr="00BE546A" w:rsidRDefault="00102BB1" w:rsidP="004C4EDF">
      <w:pPr>
        <w:pStyle w:val="a5"/>
        <w:numPr>
          <w:ilvl w:val="0"/>
          <w:numId w:val="9"/>
        </w:numPr>
        <w:spacing w:before="120" w:after="120"/>
        <w:ind w:firstLineChars="0"/>
      </w:pPr>
      <w:r w:rsidRPr="00BE546A">
        <w:t xml:space="preserve">Type 1: </w:t>
      </w:r>
      <w:r w:rsidR="00265CE6" w:rsidRPr="00BE546A">
        <w:t xml:space="preserve">Normal </w:t>
      </w:r>
      <w:r w:rsidRPr="00BE546A">
        <w:t>Cell</w:t>
      </w:r>
      <w:r w:rsidR="006E757D" w:rsidRPr="00BE546A">
        <w:t>(s)</w:t>
      </w:r>
      <w:r w:rsidRPr="00BE546A">
        <w:t xml:space="preserve"> with PDCCH/PDSCH, </w:t>
      </w:r>
      <w:proofErr w:type="gramStart"/>
      <w:r w:rsidRPr="00BE546A">
        <w:t>i.e.</w:t>
      </w:r>
      <w:proofErr w:type="gramEnd"/>
      <w:r w:rsidR="00C946E0" w:rsidRPr="00BE546A">
        <w:t xml:space="preserve"> </w:t>
      </w:r>
      <w:r w:rsidR="004C4EDF" w:rsidRPr="00BE546A">
        <w:t>Cell in the same TAG, configured with PDCCH/PDSCH</w:t>
      </w:r>
    </w:p>
    <w:p w14:paraId="324425B2" w14:textId="00061DB4" w:rsidR="004C4EDF" w:rsidRPr="00BE546A" w:rsidRDefault="00102BB1" w:rsidP="004C4EDF">
      <w:pPr>
        <w:pStyle w:val="a5"/>
        <w:numPr>
          <w:ilvl w:val="0"/>
          <w:numId w:val="9"/>
        </w:numPr>
        <w:spacing w:before="120" w:after="120"/>
        <w:ind w:firstLineChars="0"/>
      </w:pPr>
      <w:r w:rsidRPr="00BE546A">
        <w:t xml:space="preserve">Type 2: </w:t>
      </w:r>
      <w:r w:rsidR="005F72B1" w:rsidRPr="00BE546A">
        <w:t>UL-TRP</w:t>
      </w:r>
      <w:r w:rsidR="00265CE6" w:rsidRPr="00BE546A">
        <w:t>(s)</w:t>
      </w:r>
      <w:r w:rsidRPr="00BE546A">
        <w:t xml:space="preserve"> with only SSB, </w:t>
      </w:r>
      <w:proofErr w:type="gramStart"/>
      <w:r w:rsidRPr="00BE546A">
        <w:t>i.e.</w:t>
      </w:r>
      <w:proofErr w:type="gramEnd"/>
      <w:r w:rsidR="00C946E0" w:rsidRPr="00BE546A">
        <w:t xml:space="preserve"> </w:t>
      </w:r>
      <w:r w:rsidR="004C4EDF" w:rsidRPr="00BE546A">
        <w:t xml:space="preserve">Cell in the same TAG, configured with only SSB </w:t>
      </w:r>
    </w:p>
    <w:p w14:paraId="6E66CBD8" w14:textId="7DF3ABAD" w:rsidR="00FD57EB" w:rsidRPr="00BE546A" w:rsidRDefault="00FD57EB" w:rsidP="00000694">
      <w:pPr>
        <w:spacing w:before="120" w:after="120"/>
      </w:pPr>
      <w:r w:rsidRPr="00BE546A">
        <w:t>Then the reference cell candidates can be:</w:t>
      </w:r>
    </w:p>
    <w:p w14:paraId="77AD380C" w14:textId="77777777" w:rsidR="00122794" w:rsidRPr="00BE546A" w:rsidRDefault="00122794" w:rsidP="00122794">
      <w:pPr>
        <w:pStyle w:val="a5"/>
        <w:numPr>
          <w:ilvl w:val="0"/>
          <w:numId w:val="9"/>
        </w:numPr>
        <w:spacing w:before="120" w:after="120"/>
        <w:ind w:firstLineChars="0"/>
      </w:pPr>
      <w:r w:rsidRPr="00BE546A">
        <w:t>Case 1: Include only Type 2.</w:t>
      </w:r>
    </w:p>
    <w:p w14:paraId="4F7352CF" w14:textId="6D813A57" w:rsidR="00FD57EB" w:rsidRPr="00BE546A" w:rsidRDefault="00FD57EB" w:rsidP="00FD57EB">
      <w:pPr>
        <w:pStyle w:val="a5"/>
        <w:numPr>
          <w:ilvl w:val="0"/>
          <w:numId w:val="9"/>
        </w:numPr>
        <w:spacing w:before="120" w:after="120"/>
        <w:ind w:firstLineChars="0"/>
      </w:pPr>
      <w:r w:rsidRPr="00BE546A">
        <w:t xml:space="preserve">Case </w:t>
      </w:r>
      <w:r w:rsidR="00122794" w:rsidRPr="00BE546A">
        <w:t>2</w:t>
      </w:r>
      <w:r w:rsidRPr="00BE546A">
        <w:t>: Include both type 1 and type 2 cells.</w:t>
      </w:r>
    </w:p>
    <w:p w14:paraId="13D58C0F" w14:textId="2FAD8C57" w:rsidR="00FD57EB" w:rsidRPr="00BE546A" w:rsidRDefault="00FD57EB" w:rsidP="00FD57EB">
      <w:pPr>
        <w:spacing w:before="120" w:after="120"/>
      </w:pPr>
      <w:r w:rsidRPr="00BE546A">
        <w:t xml:space="preserve">For case 1, </w:t>
      </w:r>
      <w:r w:rsidR="00122794" w:rsidRPr="00BE546A">
        <w:t xml:space="preserve">if there </w:t>
      </w:r>
      <w:r w:rsidR="007F2FEA" w:rsidRPr="00BE546A">
        <w:t>are</w:t>
      </w:r>
      <w:r w:rsidR="00122794" w:rsidRPr="00BE546A">
        <w:t xml:space="preserve"> only UL-only TRPs where SSB is transmitted, then UL-only TRPs can be used as reference cell. If there are multiple UL-only TRPs, UE can choose any one with the same TAG.</w:t>
      </w:r>
    </w:p>
    <w:p w14:paraId="3AE51EAE" w14:textId="05B9E03B" w:rsidR="00122794" w:rsidRPr="00BE546A" w:rsidRDefault="00122794" w:rsidP="00FD57EB">
      <w:pPr>
        <w:spacing w:before="120" w:after="120"/>
      </w:pPr>
      <w:r w:rsidRPr="00BE546A">
        <w:t xml:space="preserve">For case 2, </w:t>
      </w:r>
      <w:r w:rsidR="003C6A9B" w:rsidRPr="00BE546A">
        <w:t xml:space="preserve">for simplicity, </w:t>
      </w:r>
      <w:r w:rsidRPr="00BE546A">
        <w:t>it’s up to UE implementation to choose either type 1 or type 2 cell.</w:t>
      </w:r>
    </w:p>
    <w:p w14:paraId="7AE64487" w14:textId="77635FC5" w:rsidR="00C3601B" w:rsidRPr="00BE546A" w:rsidRDefault="007F2FEA" w:rsidP="00D34CA7">
      <w:pPr>
        <w:spacing w:before="120" w:after="120"/>
        <w:rPr>
          <w:b/>
          <w:bCs w:val="0"/>
        </w:rPr>
      </w:pPr>
      <w:r w:rsidRPr="00BE546A">
        <w:rPr>
          <w:b/>
          <w:bCs w:val="0"/>
        </w:rPr>
        <w:t>Proposal</w:t>
      </w:r>
      <w:r w:rsidR="000C6AE7" w:rsidRPr="00BE546A">
        <w:rPr>
          <w:b/>
          <w:bCs w:val="0"/>
        </w:rPr>
        <w:t xml:space="preserve"> 1</w:t>
      </w:r>
      <w:r w:rsidRPr="00BE546A">
        <w:rPr>
          <w:b/>
          <w:bCs w:val="0"/>
        </w:rPr>
        <w:t xml:space="preserve">: </w:t>
      </w:r>
      <w:r w:rsidR="003B15E7" w:rsidRPr="00BE546A">
        <w:rPr>
          <w:b/>
          <w:bCs w:val="0"/>
        </w:rPr>
        <w:t>F</w:t>
      </w:r>
      <w:r w:rsidRPr="00BE546A">
        <w:rPr>
          <w:b/>
          <w:bCs w:val="0"/>
        </w:rPr>
        <w:t xml:space="preserve">or scenario 2, </w:t>
      </w:r>
      <w:r w:rsidR="00700B3D" w:rsidRPr="00BE546A">
        <w:rPr>
          <w:b/>
          <w:bCs w:val="0"/>
        </w:rPr>
        <w:t xml:space="preserve">if there are only UL-only TRPs with SSB, </w:t>
      </w:r>
      <w:r w:rsidRPr="00BE546A">
        <w:rPr>
          <w:b/>
          <w:bCs w:val="0"/>
        </w:rPr>
        <w:t>any one of UL-only TRP in the same TAG can be chosen as reference cell.</w:t>
      </w:r>
    </w:p>
    <w:p w14:paraId="7D7FC466" w14:textId="45499651" w:rsidR="003C6A9B" w:rsidRPr="00BE546A" w:rsidRDefault="003C6A9B" w:rsidP="003C6A9B">
      <w:pPr>
        <w:spacing w:before="120" w:after="120"/>
        <w:rPr>
          <w:b/>
        </w:rPr>
      </w:pPr>
      <w:r w:rsidRPr="00BE546A">
        <w:rPr>
          <w:b/>
          <w:bCs w:val="0"/>
        </w:rPr>
        <w:t>Proposal</w:t>
      </w:r>
      <w:r w:rsidR="000C6AE7" w:rsidRPr="00BE546A">
        <w:rPr>
          <w:b/>
          <w:bCs w:val="0"/>
        </w:rPr>
        <w:t xml:space="preserve"> 2</w:t>
      </w:r>
      <w:r w:rsidRPr="00BE546A">
        <w:rPr>
          <w:b/>
          <w:bCs w:val="0"/>
        </w:rPr>
        <w:t xml:space="preserve">: </w:t>
      </w:r>
      <w:r w:rsidRPr="00BE546A">
        <w:rPr>
          <w:b/>
        </w:rPr>
        <w:t xml:space="preserve">For Scenario 2, if there are two types of cells as candidate reference cells in the same TAG (i.e., cells with DL data and UL-only TRPs with only SSB), the UE can choose either type as the reference cell based on its </w:t>
      </w:r>
      <w:r w:rsidRPr="00BE546A">
        <w:rPr>
          <w:b/>
          <w:bCs w:val="0"/>
        </w:rPr>
        <w:t xml:space="preserve">implementation. </w:t>
      </w:r>
    </w:p>
    <w:p w14:paraId="13F766F1" w14:textId="3B7FE9B3" w:rsidR="00D605F3" w:rsidRPr="00BE546A" w:rsidRDefault="00D605F3" w:rsidP="009032A6">
      <w:pPr>
        <w:spacing w:before="240" w:after="240"/>
        <w:rPr>
          <w:u w:val="single"/>
        </w:rPr>
      </w:pPr>
      <w:r w:rsidRPr="00BE546A">
        <w:rPr>
          <w:u w:val="single"/>
        </w:rPr>
        <w:t xml:space="preserve">Reference </w:t>
      </w:r>
      <w:r w:rsidR="001A4BE7">
        <w:rPr>
          <w:u w:val="single"/>
        </w:rPr>
        <w:t>Point</w:t>
      </w:r>
    </w:p>
    <w:p w14:paraId="71A34438" w14:textId="1F66CFBA" w:rsidR="00D605F3" w:rsidRPr="00BE546A" w:rsidRDefault="00D605F3" w:rsidP="00000694">
      <w:pPr>
        <w:spacing w:before="120" w:after="120"/>
      </w:pPr>
      <w:r w:rsidRPr="00BE546A">
        <w:t>In legacy, the reference point is defined as below:</w:t>
      </w:r>
    </w:p>
    <w:tbl>
      <w:tblPr>
        <w:tblStyle w:val="a4"/>
        <w:tblW w:w="0" w:type="auto"/>
        <w:tblLook w:val="04A0" w:firstRow="1" w:lastRow="0" w:firstColumn="1" w:lastColumn="0" w:noHBand="0" w:noVBand="1"/>
      </w:tblPr>
      <w:tblGrid>
        <w:gridCol w:w="10478"/>
      </w:tblGrid>
      <w:tr w:rsidR="00D605F3" w:rsidRPr="00BE546A" w14:paraId="6D2131FB" w14:textId="77777777" w:rsidTr="00D605F3">
        <w:tc>
          <w:tcPr>
            <w:tcW w:w="10478" w:type="dxa"/>
          </w:tcPr>
          <w:p w14:paraId="6F06A628" w14:textId="6A764BBF" w:rsidR="00D605F3" w:rsidRPr="00BE546A" w:rsidRDefault="00D605F3" w:rsidP="00D605F3">
            <w:pPr>
              <w:spacing w:before="120" w:after="120"/>
              <w:ind w:left="357" w:hanging="357"/>
            </w:pPr>
            <w:r w:rsidRPr="00BE546A">
              <w:t xml:space="preserve">For multi-DCI based multi-TRP operation with two TAs, the reference point for PUCCH/PUSCH/SRS, is the first detected path (in time) of one of the corresponding downlink reference </w:t>
            </w:r>
            <w:proofErr w:type="gramStart"/>
            <w:r w:rsidRPr="00BE546A">
              <w:t>signal</w:t>
            </w:r>
            <w:proofErr w:type="gramEnd"/>
            <w:r w:rsidRPr="00BE546A">
              <w:t xml:space="preserve">(s) of the reference cell associated with one of the </w:t>
            </w:r>
            <w:r w:rsidRPr="00BE546A">
              <w:rPr>
                <w:i/>
                <w:iCs/>
                <w:color w:val="000000"/>
              </w:rPr>
              <w:t xml:space="preserve">DLorJointTCIState </w:t>
            </w:r>
            <w:r w:rsidRPr="00BE546A">
              <w:rPr>
                <w:color w:val="000000"/>
              </w:rPr>
              <w:t>[</w:t>
            </w:r>
            <w:r w:rsidRPr="00BE546A">
              <w:t>TS 38.331] having the same TAGas the uplink signal</w:t>
            </w:r>
            <w:r w:rsidRPr="00BE546A">
              <w:rPr>
                <w:color w:val="000000"/>
              </w:rPr>
              <w:t>.</w:t>
            </w:r>
          </w:p>
        </w:tc>
      </w:tr>
    </w:tbl>
    <w:p w14:paraId="2A23B8AE" w14:textId="01CA0243" w:rsidR="00D605F3" w:rsidRPr="00BE546A" w:rsidRDefault="00D605F3" w:rsidP="00000694">
      <w:pPr>
        <w:spacing w:before="120" w:after="120"/>
      </w:pPr>
      <w:r w:rsidRPr="00BE546A">
        <w:t xml:space="preserve">the reference point for PUCCH/PUSCH/SRS, is the first detected path (in time) of one of the corresponding downlink reference </w:t>
      </w:r>
      <w:proofErr w:type="gramStart"/>
      <w:r w:rsidRPr="00BE546A">
        <w:t>signal</w:t>
      </w:r>
      <w:proofErr w:type="gramEnd"/>
      <w:r w:rsidRPr="00BE546A">
        <w:t xml:space="preserve">(s) of the reference cell associated with one of the </w:t>
      </w:r>
      <w:r w:rsidRPr="00BE546A">
        <w:rPr>
          <w:i/>
          <w:iCs/>
          <w:color w:val="000000"/>
        </w:rPr>
        <w:t xml:space="preserve">DLorJointTCIState </w:t>
      </w:r>
      <w:r w:rsidRPr="00BE546A">
        <w:rPr>
          <w:color w:val="000000"/>
        </w:rPr>
        <w:t>[</w:t>
      </w:r>
      <w:r w:rsidRPr="00BE546A">
        <w:t>TS 38.331] having the same TAGas the uplink signal</w:t>
      </w:r>
      <w:r w:rsidRPr="00BE546A">
        <w:rPr>
          <w:color w:val="000000"/>
        </w:rPr>
        <w:t>.</w:t>
      </w:r>
    </w:p>
    <w:p w14:paraId="662B3F7D" w14:textId="7435517A" w:rsidR="002E154F" w:rsidRPr="00BE546A" w:rsidRDefault="00D605F3" w:rsidP="00000694">
      <w:pPr>
        <w:spacing w:before="120" w:after="120"/>
      </w:pPr>
      <w:r w:rsidRPr="00BE546A">
        <w:t xml:space="preserve">For scenario 2, if the refence cell is UL-only TRP. The DL reference signal can only be SSB. </w:t>
      </w:r>
      <w:r w:rsidR="00000694" w:rsidRPr="00BE546A">
        <w:t xml:space="preserve">DL TCI state can be configured for PDCCH/PDSCH/CSI-RS/DM-RS. SSB can be used as the source RS in the TCI state but there is no DL TCI configured for SSB. </w:t>
      </w:r>
    </w:p>
    <w:p w14:paraId="5EC4717B" w14:textId="2CB72E22" w:rsidR="00912422" w:rsidRPr="00BE546A" w:rsidRDefault="00BD63D3" w:rsidP="00000694">
      <w:pPr>
        <w:spacing w:before="120" w:after="120"/>
      </w:pPr>
      <w:r w:rsidRPr="00BE546A">
        <w:t xml:space="preserve">We suggest to modify the wording as: </w:t>
      </w:r>
    </w:p>
    <w:tbl>
      <w:tblPr>
        <w:tblStyle w:val="a4"/>
        <w:tblW w:w="0" w:type="auto"/>
        <w:tblLook w:val="04A0" w:firstRow="1" w:lastRow="0" w:firstColumn="1" w:lastColumn="0" w:noHBand="0" w:noVBand="1"/>
      </w:tblPr>
      <w:tblGrid>
        <w:gridCol w:w="10478"/>
      </w:tblGrid>
      <w:tr w:rsidR="00700B3D" w:rsidRPr="00BE546A" w14:paraId="0D7FF732" w14:textId="77777777" w:rsidTr="00700B3D">
        <w:tc>
          <w:tcPr>
            <w:tcW w:w="10478" w:type="dxa"/>
          </w:tcPr>
          <w:p w14:paraId="2794AB65" w14:textId="0C8B9C05" w:rsidR="00700B3D" w:rsidRPr="00BE546A" w:rsidRDefault="00700B3D" w:rsidP="00000694">
            <w:pPr>
              <w:spacing w:before="120" w:after="120"/>
            </w:pPr>
            <w:r w:rsidRPr="00BE546A">
              <w:t xml:space="preserve">the reference point for PUCCH/PUSCH/SRS, is the first detected path (in time) of one of the corresponding downlink reference </w:t>
            </w:r>
            <w:proofErr w:type="gramStart"/>
            <w:r w:rsidRPr="00BE546A">
              <w:t>signal</w:t>
            </w:r>
            <w:proofErr w:type="gramEnd"/>
            <w:r w:rsidRPr="00BE546A">
              <w:t xml:space="preserve">(s) of the reference cell associated with </w:t>
            </w:r>
            <w:r w:rsidRPr="00BE546A">
              <w:rPr>
                <w:i/>
                <w:iCs/>
                <w:color w:val="000000"/>
              </w:rPr>
              <w:t>DLorJointTCIState</w:t>
            </w:r>
            <w:r w:rsidRPr="00BE546A">
              <w:t xml:space="preserve"> </w:t>
            </w:r>
            <w:r w:rsidRPr="007E350A">
              <w:rPr>
                <w:b/>
                <w:bCs w:val="0"/>
              </w:rPr>
              <w:t xml:space="preserve">or </w:t>
            </w:r>
            <w:r w:rsidRPr="007E350A">
              <w:rPr>
                <w:b/>
                <w:bCs w:val="0"/>
                <w:i/>
                <w:iCs/>
              </w:rPr>
              <w:t>UL-TCIState</w:t>
            </w:r>
            <w:r w:rsidRPr="00BE546A">
              <w:rPr>
                <w:color w:val="FF0000"/>
              </w:rPr>
              <w:t xml:space="preserve"> </w:t>
            </w:r>
            <w:r w:rsidRPr="00BE546A">
              <w:t>having the same TAGas the uplink signal</w:t>
            </w:r>
            <w:r w:rsidRPr="00BE546A">
              <w:rPr>
                <w:color w:val="000000"/>
              </w:rPr>
              <w:t>.</w:t>
            </w:r>
          </w:p>
        </w:tc>
      </w:tr>
    </w:tbl>
    <w:p w14:paraId="1DEAA7CB" w14:textId="77777777" w:rsidR="00E92628" w:rsidRPr="00E92628" w:rsidRDefault="00E92628" w:rsidP="00E92628">
      <w:pPr>
        <w:spacing w:before="120" w:after="120"/>
        <w:rPr>
          <w:szCs w:val="20"/>
        </w:rPr>
      </w:pPr>
      <w:r w:rsidRPr="00E92628">
        <w:rPr>
          <w:szCs w:val="20"/>
        </w:rPr>
        <w:t>This ensures that the definition can include many scenarios, such as cells with legacy DL transmission and cells with only SSB, where SSB is included in UL TCI state.</w:t>
      </w:r>
    </w:p>
    <w:p w14:paraId="161BD404" w14:textId="4ACDED70" w:rsidR="00E36C43" w:rsidRPr="00BE546A" w:rsidRDefault="00E36C43" w:rsidP="00E36C43">
      <w:pPr>
        <w:spacing w:before="120" w:after="120"/>
        <w:rPr>
          <w:rFonts w:eastAsiaTheme="minorEastAsia"/>
          <w:b/>
          <w:bCs w:val="0"/>
        </w:rPr>
      </w:pPr>
      <w:r w:rsidRPr="00BE546A">
        <w:rPr>
          <w:b/>
          <w:bCs w:val="0"/>
        </w:rPr>
        <w:lastRenderedPageBreak/>
        <w:t>Proposal</w:t>
      </w:r>
      <w:r w:rsidR="000C6AE7" w:rsidRPr="00BE546A">
        <w:rPr>
          <w:b/>
          <w:bCs w:val="0"/>
        </w:rPr>
        <w:t xml:space="preserve"> 3</w:t>
      </w:r>
      <w:r w:rsidRPr="00BE546A">
        <w:rPr>
          <w:b/>
          <w:bCs w:val="0"/>
        </w:rPr>
        <w:t xml:space="preserve">: For scenario 2, the reference point for PUCCH/PUSCH/SRS, is the first detected path (in time) of one of the corresponding downlink reference </w:t>
      </w:r>
      <w:proofErr w:type="gramStart"/>
      <w:r w:rsidRPr="00BE546A">
        <w:rPr>
          <w:b/>
          <w:bCs w:val="0"/>
        </w:rPr>
        <w:t>signal</w:t>
      </w:r>
      <w:proofErr w:type="gramEnd"/>
      <w:r w:rsidRPr="00BE546A">
        <w:rPr>
          <w:b/>
          <w:bCs w:val="0"/>
        </w:rPr>
        <w:t xml:space="preserve">(s) of the reference cell associated with </w:t>
      </w:r>
      <w:r w:rsidRPr="00BE546A">
        <w:rPr>
          <w:b/>
          <w:bCs w:val="0"/>
          <w:i/>
          <w:iCs/>
          <w:color w:val="000000"/>
        </w:rPr>
        <w:t>DLorJointTCIState</w:t>
      </w:r>
      <w:r w:rsidRPr="00BE546A">
        <w:rPr>
          <w:b/>
          <w:bCs w:val="0"/>
        </w:rPr>
        <w:t xml:space="preserve"> or </w:t>
      </w:r>
      <w:r w:rsidRPr="00BE546A">
        <w:rPr>
          <w:b/>
          <w:bCs w:val="0"/>
          <w:i/>
          <w:iCs/>
        </w:rPr>
        <w:t>UL-TCIState</w:t>
      </w:r>
      <w:r w:rsidRPr="00BE546A">
        <w:rPr>
          <w:b/>
          <w:bCs w:val="0"/>
          <w:color w:val="FF0000"/>
        </w:rPr>
        <w:t xml:space="preserve"> </w:t>
      </w:r>
      <w:r w:rsidRPr="00BE546A">
        <w:rPr>
          <w:b/>
          <w:bCs w:val="0"/>
        </w:rPr>
        <w:t>having the same TAG</w:t>
      </w:r>
      <w:r w:rsidR="00CC24B7" w:rsidRPr="00BE546A">
        <w:rPr>
          <w:b/>
          <w:bCs w:val="0"/>
        </w:rPr>
        <w:t xml:space="preserve"> </w:t>
      </w:r>
      <w:r w:rsidRPr="00BE546A">
        <w:rPr>
          <w:b/>
          <w:bCs w:val="0"/>
        </w:rPr>
        <w:t>as the uplink signal</w:t>
      </w:r>
      <w:r w:rsidRPr="00BE546A">
        <w:rPr>
          <w:b/>
          <w:bCs w:val="0"/>
          <w:color w:val="000000"/>
        </w:rPr>
        <w:t>.</w:t>
      </w:r>
    </w:p>
    <w:p w14:paraId="2BA1F5AB" w14:textId="195231D2" w:rsidR="00666B5D" w:rsidRPr="00BE546A" w:rsidRDefault="00E2725D" w:rsidP="00CF2838">
      <w:pPr>
        <w:spacing w:before="120" w:after="120"/>
      </w:pPr>
      <w:r w:rsidRPr="00BE546A">
        <w:t>RAN1 update the reference timing for PRACH</w:t>
      </w:r>
      <w:r w:rsidR="00666B5D" w:rsidRPr="00BE546A">
        <w:t xml:space="preserve"> for scenario 2</w:t>
      </w:r>
      <w:r w:rsidRPr="00BE546A">
        <w:t>.</w:t>
      </w:r>
    </w:p>
    <w:p w14:paraId="6175A28C" w14:textId="77777777" w:rsidR="00666B5D" w:rsidRPr="00BE546A" w:rsidRDefault="00666B5D" w:rsidP="00666B5D">
      <w:pPr>
        <w:numPr>
          <w:ilvl w:val="2"/>
          <w:numId w:val="18"/>
        </w:numPr>
        <w:spacing w:before="120" w:after="120" w:line="278" w:lineRule="auto"/>
        <w:rPr>
          <w:rFonts w:eastAsia="Calibri"/>
        </w:rPr>
      </w:pPr>
      <w:r w:rsidRPr="00BE546A">
        <w:rPr>
          <w:rFonts w:eastAsia="Calibri"/>
        </w:rPr>
        <w:t xml:space="preserve">the reference timing is the first detected path (in time) of one of the corresponding downlink reference </w:t>
      </w:r>
      <w:proofErr w:type="gramStart"/>
      <w:r w:rsidRPr="00BE546A">
        <w:rPr>
          <w:rFonts w:eastAsia="Calibri"/>
        </w:rPr>
        <w:t>signal</w:t>
      </w:r>
      <w:proofErr w:type="gramEnd"/>
      <w:r w:rsidRPr="00BE546A">
        <w:rPr>
          <w:rFonts w:eastAsia="Calibri"/>
        </w:rPr>
        <w:t xml:space="preserve">(s) of </w:t>
      </w:r>
      <w:r w:rsidRPr="00BE546A">
        <w:rPr>
          <w:rFonts w:eastAsia="Calibri"/>
          <w:b/>
          <w:bCs w:val="0"/>
        </w:rPr>
        <w:t>DL TCI state(s)</w:t>
      </w:r>
      <w:r w:rsidRPr="00BE546A">
        <w:rPr>
          <w:rFonts w:eastAsia="Calibri"/>
        </w:rPr>
        <w:t xml:space="preserve"> of the reference cell associated with the first TAG.</w:t>
      </w:r>
    </w:p>
    <w:p w14:paraId="295DC3BF" w14:textId="37A78010" w:rsidR="00BE546A" w:rsidRPr="00BE546A" w:rsidRDefault="00BE546A" w:rsidP="008B70E6">
      <w:pPr>
        <w:spacing w:before="120" w:after="120"/>
      </w:pPr>
      <w:r w:rsidRPr="00BE546A">
        <w:t>If there is only UL-TRP with SSB in the same TAG, t</w:t>
      </w:r>
      <w:r w:rsidR="00102BB1" w:rsidRPr="00BE546A">
        <w:t>here is no DL TCI state for SSB. Then the DL reference timing is not clear.</w:t>
      </w:r>
      <w:r w:rsidR="008B70E6" w:rsidRPr="00BE546A">
        <w:t xml:space="preserve"> </w:t>
      </w:r>
    </w:p>
    <w:p w14:paraId="583ABB81" w14:textId="77777777" w:rsidR="00BE546A" w:rsidRPr="00BE546A" w:rsidRDefault="00BE546A" w:rsidP="00BE546A">
      <w:pPr>
        <w:spacing w:before="120" w:after="120"/>
        <w:rPr>
          <w:b/>
          <w:bCs w:val="0"/>
        </w:rPr>
      </w:pPr>
      <w:r w:rsidRPr="00BE546A">
        <w:rPr>
          <w:b/>
          <w:bCs w:val="0"/>
        </w:rPr>
        <w:t xml:space="preserve">Observation 2: For PRACH, there maybe no DL TCI state if there is only UL-only TRP with SSB in the same TAG. </w:t>
      </w:r>
    </w:p>
    <w:p w14:paraId="63423F89" w14:textId="60479BA0" w:rsidR="00BE546A" w:rsidRPr="00BE546A" w:rsidRDefault="001E3D2F" w:rsidP="00BE546A">
      <w:pPr>
        <w:spacing w:before="120" w:after="120"/>
      </w:pPr>
      <w:r w:rsidRPr="00BE546A">
        <w:t xml:space="preserve">We suggest to modify DL TCI state to </w:t>
      </w:r>
      <w:r w:rsidR="008B70E6" w:rsidRPr="00BE546A">
        <w:rPr>
          <w:i/>
          <w:iCs/>
          <w:color w:val="000000"/>
        </w:rPr>
        <w:t>DLorJointTCIState</w:t>
      </w:r>
      <w:r w:rsidR="008B70E6" w:rsidRPr="00BE546A">
        <w:t xml:space="preserve"> or </w:t>
      </w:r>
      <w:r w:rsidR="008B70E6" w:rsidRPr="00BE546A">
        <w:rPr>
          <w:i/>
          <w:iCs/>
        </w:rPr>
        <w:t>UL-TCIState</w:t>
      </w:r>
      <w:r w:rsidR="008B70E6" w:rsidRPr="00BE546A">
        <w:rPr>
          <w:b/>
          <w:bCs w:val="0"/>
          <w:color w:val="FF0000"/>
        </w:rPr>
        <w:t xml:space="preserve"> </w:t>
      </w:r>
      <w:r w:rsidRPr="00BE546A">
        <w:t xml:space="preserve">which can include both DL state and UL state case. </w:t>
      </w:r>
      <w:r w:rsidR="00BE546A" w:rsidRPr="00BE546A">
        <w:t>This modification allows for a more flexible and inclusive definition of the reference timing, ensuring that the UE can derive a valid timing reference even when there is no DL TCI state configured for SSB.</w:t>
      </w:r>
    </w:p>
    <w:p w14:paraId="654BCB37" w14:textId="2CB4E080" w:rsidR="00BB1D9A" w:rsidRPr="00BE546A" w:rsidRDefault="00BB1D9A" w:rsidP="00D34CA7">
      <w:pPr>
        <w:spacing w:before="120" w:after="120"/>
        <w:rPr>
          <w:b/>
          <w:bCs w:val="0"/>
        </w:rPr>
      </w:pPr>
      <w:r w:rsidRPr="00BE546A">
        <w:rPr>
          <w:b/>
          <w:bCs w:val="0"/>
        </w:rPr>
        <w:t>Proposal</w:t>
      </w:r>
      <w:r w:rsidR="000C6AE7" w:rsidRPr="00BE546A">
        <w:rPr>
          <w:b/>
          <w:bCs w:val="0"/>
        </w:rPr>
        <w:t xml:space="preserve"> 4</w:t>
      </w:r>
      <w:r w:rsidRPr="00BE546A">
        <w:rPr>
          <w:b/>
          <w:bCs w:val="0"/>
        </w:rPr>
        <w:t>:</w:t>
      </w:r>
      <w:r w:rsidR="00D4576A" w:rsidRPr="00BE546A">
        <w:rPr>
          <w:b/>
          <w:bCs w:val="0"/>
        </w:rPr>
        <w:t xml:space="preserve"> </w:t>
      </w:r>
      <w:r w:rsidR="00CC24B7" w:rsidRPr="00BE546A">
        <w:rPr>
          <w:b/>
          <w:bCs w:val="0"/>
        </w:rPr>
        <w:t xml:space="preserve">For PRACH, </w:t>
      </w:r>
      <w:r w:rsidR="00D4576A" w:rsidRPr="00BE546A">
        <w:rPr>
          <w:rFonts w:eastAsiaTheme="minorEastAsia"/>
          <w:b/>
          <w:bCs w:val="0"/>
        </w:rPr>
        <w:t xml:space="preserve">the reference timing is the first detected path (in time) of one of the corresponding downlink reference </w:t>
      </w:r>
      <w:proofErr w:type="gramStart"/>
      <w:r w:rsidR="00D4576A" w:rsidRPr="00BE546A">
        <w:rPr>
          <w:rFonts w:eastAsiaTheme="minorEastAsia"/>
          <w:b/>
          <w:bCs w:val="0"/>
        </w:rPr>
        <w:t>signal</w:t>
      </w:r>
      <w:proofErr w:type="gramEnd"/>
      <w:r w:rsidR="00D4576A" w:rsidRPr="00BE546A">
        <w:rPr>
          <w:rFonts w:eastAsiaTheme="minorEastAsia"/>
          <w:b/>
          <w:bCs w:val="0"/>
        </w:rPr>
        <w:t xml:space="preserve">(s) </w:t>
      </w:r>
      <w:r w:rsidR="0047204E" w:rsidRPr="00BE546A">
        <w:rPr>
          <w:rFonts w:eastAsiaTheme="minorEastAsia"/>
          <w:b/>
          <w:bCs w:val="0"/>
        </w:rPr>
        <w:t>associated with DLorJointTCIState or UL-TCIState having the same TAG</w:t>
      </w:r>
      <w:r w:rsidR="00CC24B7" w:rsidRPr="00BE546A">
        <w:rPr>
          <w:rFonts w:eastAsiaTheme="minorEastAsia"/>
          <w:b/>
          <w:bCs w:val="0"/>
        </w:rPr>
        <w:t xml:space="preserve"> </w:t>
      </w:r>
      <w:r w:rsidR="0047204E" w:rsidRPr="00BE546A">
        <w:rPr>
          <w:rFonts w:eastAsiaTheme="minorEastAsia"/>
          <w:b/>
          <w:bCs w:val="0"/>
        </w:rPr>
        <w:t>as the uplink signal.</w:t>
      </w:r>
    </w:p>
    <w:tbl>
      <w:tblPr>
        <w:tblStyle w:val="a4"/>
        <w:tblW w:w="0" w:type="auto"/>
        <w:tblLook w:val="04A0" w:firstRow="1" w:lastRow="0" w:firstColumn="1" w:lastColumn="0" w:noHBand="0" w:noVBand="1"/>
      </w:tblPr>
      <w:tblGrid>
        <w:gridCol w:w="10121"/>
      </w:tblGrid>
      <w:tr w:rsidR="000554BF" w:rsidRPr="00BE546A" w14:paraId="62873D44" w14:textId="77777777" w:rsidTr="000C6AE7">
        <w:tc>
          <w:tcPr>
            <w:tcW w:w="10121" w:type="dxa"/>
          </w:tcPr>
          <w:p w14:paraId="7946581B" w14:textId="77777777" w:rsidR="000554BF" w:rsidRPr="00BE546A" w:rsidRDefault="000554BF" w:rsidP="000554BF">
            <w:pPr>
              <w:spacing w:before="120" w:after="120"/>
              <w:rPr>
                <w:b/>
                <w:u w:val="single"/>
                <w:lang w:eastAsia="ko-KR"/>
              </w:rPr>
            </w:pPr>
            <w:r w:rsidRPr="00BE546A">
              <w:rPr>
                <w:b/>
                <w:u w:val="single"/>
                <w:lang w:eastAsia="ko-KR"/>
              </w:rPr>
              <w:t>Issue 2-6: Whether to define UL TCI state activation requirement for Scenario#2?</w:t>
            </w:r>
          </w:p>
          <w:p w14:paraId="1AAEEE0F" w14:textId="77777777" w:rsidR="000554BF" w:rsidRPr="00BE546A" w:rsidRDefault="000554BF" w:rsidP="000554BF">
            <w:pPr>
              <w:spacing w:before="120" w:after="120"/>
              <w:rPr>
                <w:szCs w:val="24"/>
              </w:rPr>
            </w:pPr>
            <w:r w:rsidRPr="00BE546A">
              <w:rPr>
                <w:szCs w:val="24"/>
              </w:rPr>
              <w:t>Way forward: discuss the following options in the next meeting for Scenario#2</w:t>
            </w:r>
          </w:p>
          <w:p w14:paraId="43EF7ECE" w14:textId="77777777" w:rsidR="000554BF" w:rsidRPr="00BE546A" w:rsidRDefault="000554BF" w:rsidP="000554BF">
            <w:pPr>
              <w:pStyle w:val="a5"/>
              <w:numPr>
                <w:ilvl w:val="0"/>
                <w:numId w:val="3"/>
              </w:numPr>
              <w:autoSpaceDN w:val="0"/>
              <w:spacing w:before="120" w:after="120"/>
              <w:ind w:left="1200" w:firstLineChars="0"/>
              <w:rPr>
                <w:szCs w:val="24"/>
              </w:rPr>
            </w:pPr>
            <w:r w:rsidRPr="00BE546A">
              <w:rPr>
                <w:szCs w:val="24"/>
              </w:rPr>
              <w:t>Option 1: No RRM impacts on TCI state switching requirement.</w:t>
            </w:r>
          </w:p>
          <w:p w14:paraId="4A921D9F" w14:textId="17AE95F3" w:rsidR="000554BF" w:rsidRPr="00BE546A" w:rsidRDefault="000554BF" w:rsidP="000554BF">
            <w:pPr>
              <w:pStyle w:val="a5"/>
              <w:numPr>
                <w:ilvl w:val="0"/>
                <w:numId w:val="3"/>
              </w:numPr>
              <w:autoSpaceDN w:val="0"/>
              <w:spacing w:before="120" w:after="120"/>
              <w:ind w:left="1200" w:firstLineChars="0"/>
              <w:rPr>
                <w:szCs w:val="24"/>
              </w:rPr>
            </w:pPr>
            <w:r w:rsidRPr="00BE546A">
              <w:rPr>
                <w:szCs w:val="24"/>
              </w:rPr>
              <w:t>Option 2: Legacy SSB based UL TCI state activation requirement can be re-used.</w:t>
            </w:r>
          </w:p>
        </w:tc>
      </w:tr>
    </w:tbl>
    <w:p w14:paraId="2C2816D6" w14:textId="3BE9ADA0" w:rsidR="000554BF" w:rsidRPr="00BE546A" w:rsidRDefault="000554BF" w:rsidP="00CF2838">
      <w:pPr>
        <w:spacing w:before="120" w:after="120"/>
      </w:pPr>
      <w:r w:rsidRPr="00BE546A">
        <w:t>For scenario 2, the UL TCI state activation requirement can re-use the legacy SSB based UL TCI state activation requirement since SSB will be transmitted.</w:t>
      </w:r>
    </w:p>
    <w:p w14:paraId="0EB69836" w14:textId="57DCCEEC" w:rsidR="000554BF" w:rsidRPr="00BE546A" w:rsidRDefault="000554BF" w:rsidP="00D34CA7">
      <w:pPr>
        <w:spacing w:before="120" w:after="120"/>
        <w:rPr>
          <w:b/>
          <w:bCs w:val="0"/>
        </w:rPr>
      </w:pPr>
      <w:r w:rsidRPr="00BE546A">
        <w:rPr>
          <w:b/>
          <w:bCs w:val="0"/>
        </w:rPr>
        <w:t>Proposal</w:t>
      </w:r>
      <w:r w:rsidR="000C6AE7" w:rsidRPr="00BE546A">
        <w:rPr>
          <w:b/>
          <w:bCs w:val="0"/>
        </w:rPr>
        <w:t xml:space="preserve"> 5</w:t>
      </w:r>
      <w:r w:rsidRPr="00BE546A">
        <w:rPr>
          <w:b/>
          <w:bCs w:val="0"/>
        </w:rPr>
        <w:t>: For scenario 2, the UL TCI state activation requirement can re-use the legacy SSB based UL TCI state activation requirement</w:t>
      </w:r>
      <w:r w:rsidR="000C6AE7" w:rsidRPr="00BE546A">
        <w:rPr>
          <w:b/>
          <w:bCs w:val="0"/>
        </w:rPr>
        <w:t>.</w:t>
      </w:r>
    </w:p>
    <w:p w14:paraId="6832CDE5" w14:textId="21A73CAB" w:rsidR="005A61B6" w:rsidRPr="00BE546A" w:rsidRDefault="006E5755" w:rsidP="00710769">
      <w:pPr>
        <w:pStyle w:val="a5"/>
        <w:keepNext/>
        <w:keepLines/>
        <w:numPr>
          <w:ilvl w:val="0"/>
          <w:numId w:val="1"/>
        </w:numPr>
        <w:pBdr>
          <w:top w:val="single" w:sz="12" w:space="3" w:color="auto"/>
        </w:pBdr>
        <w:overflowPunct w:val="0"/>
        <w:autoSpaceDE w:val="0"/>
        <w:autoSpaceDN w:val="0"/>
        <w:adjustRightInd w:val="0"/>
        <w:spacing w:before="120" w:after="120"/>
        <w:ind w:firstLineChars="0"/>
        <w:textAlignment w:val="baseline"/>
        <w:outlineLvl w:val="0"/>
        <w:rPr>
          <w:sz w:val="36"/>
          <w:szCs w:val="20"/>
          <w:lang w:val="en-GB"/>
        </w:rPr>
      </w:pPr>
      <w:r w:rsidRPr="00BE546A">
        <w:rPr>
          <w:sz w:val="36"/>
          <w:szCs w:val="20"/>
          <w:lang w:val="en-GB"/>
        </w:rPr>
        <w:t>Conclusion</w:t>
      </w:r>
    </w:p>
    <w:p w14:paraId="6361F996" w14:textId="208815ED" w:rsidR="00363556" w:rsidRPr="00BE546A" w:rsidRDefault="00DE3EAA" w:rsidP="00AF606B">
      <w:pPr>
        <w:spacing w:before="120" w:after="120"/>
        <w:rPr>
          <w:szCs w:val="20"/>
        </w:rPr>
      </w:pPr>
      <w:r w:rsidRPr="00BE546A">
        <w:rPr>
          <w:szCs w:val="20"/>
        </w:rPr>
        <w:t>In this contribution, we provide the following proposals</w:t>
      </w:r>
      <w:r w:rsidRPr="00BE546A">
        <w:rPr>
          <w:szCs w:val="20"/>
        </w:rPr>
        <w:t>：</w:t>
      </w:r>
    </w:p>
    <w:p w14:paraId="510D925E" w14:textId="77777777" w:rsidR="000C6AE7" w:rsidRPr="00BE546A" w:rsidRDefault="000C6AE7" w:rsidP="000C6AE7">
      <w:pPr>
        <w:spacing w:before="120" w:after="120"/>
        <w:rPr>
          <w:rFonts w:eastAsiaTheme="minorEastAsia"/>
          <w:b/>
          <w:bCs w:val="0"/>
        </w:rPr>
      </w:pPr>
      <w:r w:rsidRPr="00BE546A">
        <w:rPr>
          <w:b/>
          <w:bCs w:val="0"/>
        </w:rPr>
        <w:t>Observation 1: From RAN1 reply LS, f</w:t>
      </w:r>
      <w:r w:rsidRPr="00BE546A">
        <w:rPr>
          <w:rFonts w:eastAsiaTheme="minorEastAsia"/>
          <w:b/>
          <w:bCs w:val="0"/>
        </w:rPr>
        <w:t>or the scenario that the UE is not configured with PL offset in joint/UL TCI state(s), UE maintains two downlink reference timings.</w:t>
      </w:r>
    </w:p>
    <w:p w14:paraId="13598B3D" w14:textId="010229F2" w:rsidR="000C6AE7" w:rsidRPr="00BE546A" w:rsidRDefault="000C6AE7" w:rsidP="000C6AE7">
      <w:pPr>
        <w:spacing w:before="120" w:after="120"/>
        <w:rPr>
          <w:b/>
          <w:bCs w:val="0"/>
        </w:rPr>
      </w:pPr>
      <w:r w:rsidRPr="00BE546A">
        <w:rPr>
          <w:b/>
          <w:bCs w:val="0"/>
        </w:rPr>
        <w:t>Proposal 1: For scenario 2, if there are only UL-only TRPs with SSB, any one of UL-only TRP in the same TAG can be chosen as reference cell.</w:t>
      </w:r>
    </w:p>
    <w:p w14:paraId="6D3F5283" w14:textId="3C7DC35F" w:rsidR="000C6AE7" w:rsidRPr="00BE546A" w:rsidRDefault="000C6AE7" w:rsidP="000C6AE7">
      <w:pPr>
        <w:spacing w:before="120" w:after="120"/>
        <w:rPr>
          <w:b/>
        </w:rPr>
      </w:pPr>
      <w:r w:rsidRPr="00BE546A">
        <w:rPr>
          <w:b/>
          <w:bCs w:val="0"/>
        </w:rPr>
        <w:t xml:space="preserve">Proposal 2: </w:t>
      </w:r>
      <w:r w:rsidRPr="00BE546A">
        <w:rPr>
          <w:b/>
        </w:rPr>
        <w:t xml:space="preserve">For Scenario 2, if there are two types of cells as candidate reference cells in the same TAG (i.e., cells with DL data and UL-only TRPs with only SSB), the UE can choose either type as the reference cell based on its </w:t>
      </w:r>
      <w:r w:rsidRPr="00BE546A">
        <w:rPr>
          <w:b/>
          <w:bCs w:val="0"/>
        </w:rPr>
        <w:t xml:space="preserve">implementation. </w:t>
      </w:r>
    </w:p>
    <w:p w14:paraId="3FBCD9B8" w14:textId="77777777" w:rsidR="000C6AE7" w:rsidRPr="00BE546A" w:rsidRDefault="000C6AE7" w:rsidP="000C6AE7">
      <w:pPr>
        <w:spacing w:before="120" w:after="120"/>
        <w:rPr>
          <w:rFonts w:eastAsiaTheme="minorEastAsia"/>
          <w:b/>
          <w:bCs w:val="0"/>
        </w:rPr>
      </w:pPr>
      <w:r w:rsidRPr="00BE546A">
        <w:rPr>
          <w:b/>
          <w:bCs w:val="0"/>
        </w:rPr>
        <w:t xml:space="preserve">Proposal 3: For scenario 2, the reference point for PUCCH/PUSCH/SRS, is the first detected path (in time) of one of the corresponding downlink reference </w:t>
      </w:r>
      <w:proofErr w:type="gramStart"/>
      <w:r w:rsidRPr="00BE546A">
        <w:rPr>
          <w:b/>
          <w:bCs w:val="0"/>
        </w:rPr>
        <w:t>signal</w:t>
      </w:r>
      <w:proofErr w:type="gramEnd"/>
      <w:r w:rsidRPr="00BE546A">
        <w:rPr>
          <w:b/>
          <w:bCs w:val="0"/>
        </w:rPr>
        <w:t xml:space="preserve">(s) of the reference cell associated with </w:t>
      </w:r>
      <w:r w:rsidRPr="00BE546A">
        <w:rPr>
          <w:b/>
          <w:bCs w:val="0"/>
          <w:i/>
          <w:iCs/>
          <w:color w:val="000000"/>
        </w:rPr>
        <w:t>DLorJointTCIState</w:t>
      </w:r>
      <w:r w:rsidRPr="00BE546A">
        <w:rPr>
          <w:b/>
          <w:bCs w:val="0"/>
        </w:rPr>
        <w:t xml:space="preserve"> or </w:t>
      </w:r>
      <w:r w:rsidRPr="00BE546A">
        <w:rPr>
          <w:b/>
          <w:bCs w:val="0"/>
          <w:i/>
          <w:iCs/>
        </w:rPr>
        <w:t>UL-TCIState</w:t>
      </w:r>
      <w:r w:rsidRPr="00BE546A">
        <w:rPr>
          <w:b/>
          <w:bCs w:val="0"/>
          <w:color w:val="FF0000"/>
        </w:rPr>
        <w:t xml:space="preserve"> </w:t>
      </w:r>
      <w:r w:rsidRPr="00BE546A">
        <w:rPr>
          <w:b/>
          <w:bCs w:val="0"/>
        </w:rPr>
        <w:t>having the same TAG as the uplink signal</w:t>
      </w:r>
      <w:r w:rsidRPr="00BE546A">
        <w:rPr>
          <w:b/>
          <w:bCs w:val="0"/>
          <w:color w:val="000000"/>
        </w:rPr>
        <w:t>.</w:t>
      </w:r>
    </w:p>
    <w:p w14:paraId="26A371F0" w14:textId="77777777" w:rsidR="000C6AE7" w:rsidRPr="00BE546A" w:rsidRDefault="000C6AE7" w:rsidP="000C6AE7">
      <w:pPr>
        <w:spacing w:before="120" w:after="120"/>
        <w:rPr>
          <w:b/>
          <w:bCs w:val="0"/>
        </w:rPr>
      </w:pPr>
      <w:r w:rsidRPr="00BE546A">
        <w:rPr>
          <w:b/>
          <w:bCs w:val="0"/>
        </w:rPr>
        <w:t xml:space="preserve">Observation 2: For PRACH, there maybe no DL TCI state if there is only UL-only TRP with SSB in the same TAG. </w:t>
      </w:r>
    </w:p>
    <w:p w14:paraId="6756CB24" w14:textId="77777777" w:rsidR="000C6AE7" w:rsidRPr="00BE546A" w:rsidRDefault="000C6AE7" w:rsidP="000C6AE7">
      <w:pPr>
        <w:spacing w:before="120" w:after="120"/>
        <w:rPr>
          <w:b/>
          <w:bCs w:val="0"/>
        </w:rPr>
      </w:pPr>
      <w:r w:rsidRPr="00BE546A">
        <w:rPr>
          <w:b/>
          <w:bCs w:val="0"/>
        </w:rPr>
        <w:t xml:space="preserve">Proposal 4: For PRACH, </w:t>
      </w:r>
      <w:r w:rsidRPr="00BE546A">
        <w:rPr>
          <w:rFonts w:eastAsiaTheme="minorEastAsia"/>
          <w:b/>
          <w:bCs w:val="0"/>
        </w:rPr>
        <w:t xml:space="preserve">the reference timing is the first detected path (in time) of one of the corresponding downlink reference </w:t>
      </w:r>
      <w:proofErr w:type="gramStart"/>
      <w:r w:rsidRPr="00BE546A">
        <w:rPr>
          <w:rFonts w:eastAsiaTheme="minorEastAsia"/>
          <w:b/>
          <w:bCs w:val="0"/>
        </w:rPr>
        <w:t>signal</w:t>
      </w:r>
      <w:proofErr w:type="gramEnd"/>
      <w:r w:rsidRPr="00BE546A">
        <w:rPr>
          <w:rFonts w:eastAsiaTheme="minorEastAsia"/>
          <w:b/>
          <w:bCs w:val="0"/>
        </w:rPr>
        <w:t>(s) associated with DLorJointTCIState or UL-TCIState having the same TAG as the uplink signal.</w:t>
      </w:r>
    </w:p>
    <w:p w14:paraId="57A0626D" w14:textId="77777777" w:rsidR="000C6AE7" w:rsidRPr="00BE546A" w:rsidRDefault="000C6AE7" w:rsidP="000C6AE7">
      <w:pPr>
        <w:spacing w:before="120" w:after="120"/>
        <w:rPr>
          <w:b/>
          <w:bCs w:val="0"/>
        </w:rPr>
      </w:pPr>
      <w:r w:rsidRPr="00BE546A">
        <w:rPr>
          <w:b/>
          <w:bCs w:val="0"/>
        </w:rPr>
        <w:t>Proposal 5: For scenario 2, the UL TCI state activation requirement can re-use the legacy SSB based UL TCI state activation requirement.</w:t>
      </w:r>
    </w:p>
    <w:p w14:paraId="7DCF4075" w14:textId="77777777" w:rsidR="00F50240" w:rsidRPr="00BE546A" w:rsidRDefault="00F50240" w:rsidP="00F50240">
      <w:pPr>
        <w:pStyle w:val="a5"/>
        <w:keepNext/>
        <w:keepLines/>
        <w:numPr>
          <w:ilvl w:val="0"/>
          <w:numId w:val="1"/>
        </w:numPr>
        <w:pBdr>
          <w:top w:val="single" w:sz="12" w:space="3" w:color="auto"/>
        </w:pBdr>
        <w:overflowPunct w:val="0"/>
        <w:autoSpaceDE w:val="0"/>
        <w:autoSpaceDN w:val="0"/>
        <w:adjustRightInd w:val="0"/>
        <w:spacing w:before="120" w:after="120"/>
        <w:ind w:firstLineChars="0"/>
        <w:textAlignment w:val="baseline"/>
        <w:outlineLvl w:val="0"/>
        <w:rPr>
          <w:sz w:val="36"/>
          <w:szCs w:val="20"/>
          <w:lang w:val="en-GB"/>
        </w:rPr>
      </w:pPr>
      <w:r w:rsidRPr="00BE546A">
        <w:rPr>
          <w:sz w:val="36"/>
          <w:szCs w:val="20"/>
          <w:lang w:val="en-GB"/>
        </w:rPr>
        <w:t xml:space="preserve">Reference </w:t>
      </w:r>
    </w:p>
    <w:sectPr w:rsidR="00F50240" w:rsidRPr="00BE546A" w:rsidSect="007E350A">
      <w:headerReference w:type="even" r:id="rId7"/>
      <w:headerReference w:type="default" r:id="rId8"/>
      <w:footerReference w:type="even" r:id="rId9"/>
      <w:footerReference w:type="default" r:id="rId10"/>
      <w:headerReference w:type="first" r:id="rId11"/>
      <w:footerReference w:type="first" r:id="rId12"/>
      <w:pgSz w:w="11906" w:h="16838"/>
      <w:pgMar w:top="1418" w:right="284" w:bottom="1134" w:left="1134" w:header="0"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9C16A" w14:textId="77777777" w:rsidR="00522C0D" w:rsidRDefault="00522C0D" w:rsidP="00AB0A25">
      <w:pPr>
        <w:spacing w:before="120" w:after="120"/>
      </w:pPr>
      <w:r>
        <w:separator/>
      </w:r>
    </w:p>
  </w:endnote>
  <w:endnote w:type="continuationSeparator" w:id="0">
    <w:p w14:paraId="2AA75F85" w14:textId="77777777" w:rsidR="00522C0D" w:rsidRDefault="00522C0D" w:rsidP="00AB0A2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5C7A" w14:textId="77777777" w:rsidR="007E350A" w:rsidRDefault="007E350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8D95B" w14:textId="77777777" w:rsidR="007E350A" w:rsidRDefault="007E350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2BEA" w14:textId="77777777" w:rsidR="007E350A" w:rsidRDefault="007E350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B61B6" w14:textId="77777777" w:rsidR="00522C0D" w:rsidRDefault="00522C0D" w:rsidP="00AB0A25">
      <w:pPr>
        <w:spacing w:before="120" w:after="120"/>
      </w:pPr>
      <w:r>
        <w:separator/>
      </w:r>
    </w:p>
  </w:footnote>
  <w:footnote w:type="continuationSeparator" w:id="0">
    <w:p w14:paraId="51F8B24A" w14:textId="77777777" w:rsidR="00522C0D" w:rsidRDefault="00522C0D" w:rsidP="00AB0A25">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DDBA" w14:textId="77777777" w:rsidR="007E350A" w:rsidRDefault="007E350A">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9147" w14:textId="77777777" w:rsidR="007E350A" w:rsidRPr="007E350A" w:rsidRDefault="007E350A" w:rsidP="007E350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31AB3" w14:textId="77777777" w:rsidR="007E350A" w:rsidRDefault="007E350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99A0E1B"/>
    <w:multiLevelType w:val="hybridMultilevel"/>
    <w:tmpl w:val="CE20234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91668F9"/>
    <w:multiLevelType w:val="multilevel"/>
    <w:tmpl w:val="A8D6C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86"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514AEC"/>
    <w:multiLevelType w:val="multilevel"/>
    <w:tmpl w:val="1BE45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3E859C2"/>
    <w:multiLevelType w:val="multilevel"/>
    <w:tmpl w:val="4650C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0"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1"/>
  </w:num>
  <w:num w:numId="5">
    <w:abstractNumId w:val="19"/>
  </w:num>
  <w:num w:numId="6">
    <w:abstractNumId w:val="12"/>
  </w:num>
  <w:num w:numId="7">
    <w:abstractNumId w:val="2"/>
  </w:num>
  <w:num w:numId="8">
    <w:abstractNumId w:val="8"/>
  </w:num>
  <w:num w:numId="9">
    <w:abstractNumId w:val="7"/>
  </w:num>
  <w:num w:numId="10">
    <w:abstractNumId w:val="14"/>
  </w:num>
  <w:num w:numId="11">
    <w:abstractNumId w:val="15"/>
  </w:num>
  <w:num w:numId="12">
    <w:abstractNumId w:val="6"/>
  </w:num>
  <w:num w:numId="13">
    <w:abstractNumId w:val="16"/>
  </w:num>
  <w:num w:numId="14">
    <w:abstractNumId w:val="20"/>
  </w:num>
  <w:num w:numId="15">
    <w:abstractNumId w:val="13"/>
  </w:num>
  <w:num w:numId="16">
    <w:abstractNumId w:val="4"/>
  </w:num>
  <w:num w:numId="17">
    <w:abstractNumId w:val="3"/>
  </w:num>
  <w:num w:numId="18">
    <w:abstractNumId w:val="11"/>
  </w:num>
  <w:num w:numId="19">
    <w:abstractNumId w:val="18"/>
  </w:num>
  <w:num w:numId="20">
    <w:abstractNumId w:val="17"/>
  </w:num>
  <w:num w:numId="2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694"/>
    <w:rsid w:val="000065B4"/>
    <w:rsid w:val="00012634"/>
    <w:rsid w:val="00014654"/>
    <w:rsid w:val="00014B78"/>
    <w:rsid w:val="00016CB8"/>
    <w:rsid w:val="000256A6"/>
    <w:rsid w:val="00027246"/>
    <w:rsid w:val="000319AD"/>
    <w:rsid w:val="00033274"/>
    <w:rsid w:val="00044E9A"/>
    <w:rsid w:val="00044F30"/>
    <w:rsid w:val="000457B3"/>
    <w:rsid w:val="00046205"/>
    <w:rsid w:val="000516FF"/>
    <w:rsid w:val="0005195A"/>
    <w:rsid w:val="000554BF"/>
    <w:rsid w:val="0005770D"/>
    <w:rsid w:val="00057F6E"/>
    <w:rsid w:val="0006014D"/>
    <w:rsid w:val="00060170"/>
    <w:rsid w:val="000627DE"/>
    <w:rsid w:val="000632A5"/>
    <w:rsid w:val="00064046"/>
    <w:rsid w:val="00065E1B"/>
    <w:rsid w:val="00073CB5"/>
    <w:rsid w:val="00073EA2"/>
    <w:rsid w:val="000740C5"/>
    <w:rsid w:val="00076B17"/>
    <w:rsid w:val="00077BB9"/>
    <w:rsid w:val="000801DF"/>
    <w:rsid w:val="0008152F"/>
    <w:rsid w:val="000830C8"/>
    <w:rsid w:val="000836BC"/>
    <w:rsid w:val="00083FA8"/>
    <w:rsid w:val="00085E99"/>
    <w:rsid w:val="00086183"/>
    <w:rsid w:val="00086664"/>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B4F2A"/>
    <w:rsid w:val="000C0537"/>
    <w:rsid w:val="000C1185"/>
    <w:rsid w:val="000C2BAC"/>
    <w:rsid w:val="000C3CBC"/>
    <w:rsid w:val="000C440B"/>
    <w:rsid w:val="000C4A1A"/>
    <w:rsid w:val="000C67C6"/>
    <w:rsid w:val="000C6AE7"/>
    <w:rsid w:val="000C773F"/>
    <w:rsid w:val="000C77BA"/>
    <w:rsid w:val="000D0A4B"/>
    <w:rsid w:val="000D1AF1"/>
    <w:rsid w:val="000D2D73"/>
    <w:rsid w:val="000D2E87"/>
    <w:rsid w:val="000D60EA"/>
    <w:rsid w:val="000D6375"/>
    <w:rsid w:val="000E580C"/>
    <w:rsid w:val="000E5F55"/>
    <w:rsid w:val="000E63E8"/>
    <w:rsid w:val="000E7E8C"/>
    <w:rsid w:val="000F2367"/>
    <w:rsid w:val="000F2D7B"/>
    <w:rsid w:val="000F55FA"/>
    <w:rsid w:val="000F59C5"/>
    <w:rsid w:val="000F5ADB"/>
    <w:rsid w:val="000F6B7E"/>
    <w:rsid w:val="000F7444"/>
    <w:rsid w:val="00101503"/>
    <w:rsid w:val="00101DD4"/>
    <w:rsid w:val="00102BB1"/>
    <w:rsid w:val="00104A03"/>
    <w:rsid w:val="00104DAC"/>
    <w:rsid w:val="00105586"/>
    <w:rsid w:val="00106683"/>
    <w:rsid w:val="001069A0"/>
    <w:rsid w:val="00106FEA"/>
    <w:rsid w:val="0010720C"/>
    <w:rsid w:val="00110F69"/>
    <w:rsid w:val="00114C3E"/>
    <w:rsid w:val="00115766"/>
    <w:rsid w:val="001159A8"/>
    <w:rsid w:val="00120158"/>
    <w:rsid w:val="00120F7E"/>
    <w:rsid w:val="00120FF4"/>
    <w:rsid w:val="00121049"/>
    <w:rsid w:val="001224AF"/>
    <w:rsid w:val="00122794"/>
    <w:rsid w:val="00123945"/>
    <w:rsid w:val="00123A44"/>
    <w:rsid w:val="00125E1C"/>
    <w:rsid w:val="001265F9"/>
    <w:rsid w:val="00126C02"/>
    <w:rsid w:val="00131645"/>
    <w:rsid w:val="00131F0C"/>
    <w:rsid w:val="00133300"/>
    <w:rsid w:val="00135665"/>
    <w:rsid w:val="0014044D"/>
    <w:rsid w:val="001411BA"/>
    <w:rsid w:val="0014245B"/>
    <w:rsid w:val="0014497C"/>
    <w:rsid w:val="001454F0"/>
    <w:rsid w:val="00145A35"/>
    <w:rsid w:val="00147B80"/>
    <w:rsid w:val="001518E4"/>
    <w:rsid w:val="00152495"/>
    <w:rsid w:val="00153009"/>
    <w:rsid w:val="001552BC"/>
    <w:rsid w:val="00155E22"/>
    <w:rsid w:val="0015717A"/>
    <w:rsid w:val="001612ED"/>
    <w:rsid w:val="00163597"/>
    <w:rsid w:val="00165494"/>
    <w:rsid w:val="001668E7"/>
    <w:rsid w:val="001701A3"/>
    <w:rsid w:val="00170779"/>
    <w:rsid w:val="0017191D"/>
    <w:rsid w:val="00171A5C"/>
    <w:rsid w:val="00173E2E"/>
    <w:rsid w:val="001742C9"/>
    <w:rsid w:val="001752B6"/>
    <w:rsid w:val="0017562F"/>
    <w:rsid w:val="001756E4"/>
    <w:rsid w:val="00177F34"/>
    <w:rsid w:val="0018354F"/>
    <w:rsid w:val="00183625"/>
    <w:rsid w:val="001847E6"/>
    <w:rsid w:val="00186EF0"/>
    <w:rsid w:val="00191C5C"/>
    <w:rsid w:val="00191EAC"/>
    <w:rsid w:val="00191F70"/>
    <w:rsid w:val="001922AF"/>
    <w:rsid w:val="00194FAE"/>
    <w:rsid w:val="001A0376"/>
    <w:rsid w:val="001A3A6C"/>
    <w:rsid w:val="001A41F2"/>
    <w:rsid w:val="001A4BE7"/>
    <w:rsid w:val="001B1180"/>
    <w:rsid w:val="001B4B47"/>
    <w:rsid w:val="001B5295"/>
    <w:rsid w:val="001B755D"/>
    <w:rsid w:val="001C0958"/>
    <w:rsid w:val="001C09DA"/>
    <w:rsid w:val="001C3465"/>
    <w:rsid w:val="001C3AA2"/>
    <w:rsid w:val="001C71A4"/>
    <w:rsid w:val="001C71D0"/>
    <w:rsid w:val="001C751F"/>
    <w:rsid w:val="001C7FB2"/>
    <w:rsid w:val="001D02C4"/>
    <w:rsid w:val="001D2E1A"/>
    <w:rsid w:val="001D427D"/>
    <w:rsid w:val="001D6769"/>
    <w:rsid w:val="001D6C12"/>
    <w:rsid w:val="001D70C4"/>
    <w:rsid w:val="001D78DF"/>
    <w:rsid w:val="001E001F"/>
    <w:rsid w:val="001E2A20"/>
    <w:rsid w:val="001E3D2F"/>
    <w:rsid w:val="001E4DA8"/>
    <w:rsid w:val="001E5829"/>
    <w:rsid w:val="001E75E2"/>
    <w:rsid w:val="001F0912"/>
    <w:rsid w:val="001F0BA1"/>
    <w:rsid w:val="001F1EDB"/>
    <w:rsid w:val="001F22F3"/>
    <w:rsid w:val="001F4BAA"/>
    <w:rsid w:val="001F675E"/>
    <w:rsid w:val="00200952"/>
    <w:rsid w:val="002018C2"/>
    <w:rsid w:val="00203B32"/>
    <w:rsid w:val="00207A1A"/>
    <w:rsid w:val="00211775"/>
    <w:rsid w:val="0021225B"/>
    <w:rsid w:val="00221D3C"/>
    <w:rsid w:val="002241C7"/>
    <w:rsid w:val="00227002"/>
    <w:rsid w:val="00232F8A"/>
    <w:rsid w:val="002335D3"/>
    <w:rsid w:val="0023565F"/>
    <w:rsid w:val="00237571"/>
    <w:rsid w:val="0023775B"/>
    <w:rsid w:val="002404B1"/>
    <w:rsid w:val="002415A1"/>
    <w:rsid w:val="00243897"/>
    <w:rsid w:val="00244EA8"/>
    <w:rsid w:val="00247615"/>
    <w:rsid w:val="00251ABB"/>
    <w:rsid w:val="00252999"/>
    <w:rsid w:val="002569EE"/>
    <w:rsid w:val="0026034B"/>
    <w:rsid w:val="00263C64"/>
    <w:rsid w:val="00264CFC"/>
    <w:rsid w:val="00265CE6"/>
    <w:rsid w:val="00281D31"/>
    <w:rsid w:val="00282C71"/>
    <w:rsid w:val="00285311"/>
    <w:rsid w:val="00286053"/>
    <w:rsid w:val="0029128D"/>
    <w:rsid w:val="00292502"/>
    <w:rsid w:val="002950EB"/>
    <w:rsid w:val="0029745C"/>
    <w:rsid w:val="002A3ABD"/>
    <w:rsid w:val="002A7B14"/>
    <w:rsid w:val="002B1A82"/>
    <w:rsid w:val="002B1F32"/>
    <w:rsid w:val="002B1FCB"/>
    <w:rsid w:val="002B22AB"/>
    <w:rsid w:val="002B4087"/>
    <w:rsid w:val="002B62FB"/>
    <w:rsid w:val="002B795B"/>
    <w:rsid w:val="002C12DC"/>
    <w:rsid w:val="002C14AC"/>
    <w:rsid w:val="002C206A"/>
    <w:rsid w:val="002C6F0B"/>
    <w:rsid w:val="002C6F46"/>
    <w:rsid w:val="002D3ACC"/>
    <w:rsid w:val="002D427B"/>
    <w:rsid w:val="002D4FCC"/>
    <w:rsid w:val="002D7359"/>
    <w:rsid w:val="002E0E42"/>
    <w:rsid w:val="002E154F"/>
    <w:rsid w:val="002E266C"/>
    <w:rsid w:val="002E3546"/>
    <w:rsid w:val="002E4C28"/>
    <w:rsid w:val="002E717E"/>
    <w:rsid w:val="002F0CC6"/>
    <w:rsid w:val="002F1D6C"/>
    <w:rsid w:val="002F6FD8"/>
    <w:rsid w:val="00300FEC"/>
    <w:rsid w:val="00302C60"/>
    <w:rsid w:val="00303EE3"/>
    <w:rsid w:val="00304329"/>
    <w:rsid w:val="003049E1"/>
    <w:rsid w:val="00305868"/>
    <w:rsid w:val="0030783B"/>
    <w:rsid w:val="003126A7"/>
    <w:rsid w:val="00316CCE"/>
    <w:rsid w:val="003176BB"/>
    <w:rsid w:val="0032344C"/>
    <w:rsid w:val="003247AB"/>
    <w:rsid w:val="0032571C"/>
    <w:rsid w:val="00325F93"/>
    <w:rsid w:val="003306EC"/>
    <w:rsid w:val="003322E3"/>
    <w:rsid w:val="00336273"/>
    <w:rsid w:val="0033673C"/>
    <w:rsid w:val="003367C2"/>
    <w:rsid w:val="0033775C"/>
    <w:rsid w:val="00341C8D"/>
    <w:rsid w:val="00341DB8"/>
    <w:rsid w:val="00342A45"/>
    <w:rsid w:val="003458D2"/>
    <w:rsid w:val="00346128"/>
    <w:rsid w:val="00346476"/>
    <w:rsid w:val="00350032"/>
    <w:rsid w:val="003510F2"/>
    <w:rsid w:val="003515F7"/>
    <w:rsid w:val="00356EF6"/>
    <w:rsid w:val="00361067"/>
    <w:rsid w:val="0036242F"/>
    <w:rsid w:val="00363556"/>
    <w:rsid w:val="003639B7"/>
    <w:rsid w:val="00364917"/>
    <w:rsid w:val="003655AC"/>
    <w:rsid w:val="00366037"/>
    <w:rsid w:val="00367D79"/>
    <w:rsid w:val="00367E55"/>
    <w:rsid w:val="0037153F"/>
    <w:rsid w:val="0037305C"/>
    <w:rsid w:val="0037598F"/>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96FE8"/>
    <w:rsid w:val="003A0C56"/>
    <w:rsid w:val="003A473A"/>
    <w:rsid w:val="003A4F31"/>
    <w:rsid w:val="003A5DD9"/>
    <w:rsid w:val="003A6E6E"/>
    <w:rsid w:val="003A7052"/>
    <w:rsid w:val="003B15E7"/>
    <w:rsid w:val="003B1922"/>
    <w:rsid w:val="003B4F5F"/>
    <w:rsid w:val="003B5B34"/>
    <w:rsid w:val="003B7172"/>
    <w:rsid w:val="003B7C77"/>
    <w:rsid w:val="003C125B"/>
    <w:rsid w:val="003C318E"/>
    <w:rsid w:val="003C6629"/>
    <w:rsid w:val="003C6A9B"/>
    <w:rsid w:val="003D12A1"/>
    <w:rsid w:val="003D1853"/>
    <w:rsid w:val="003D1CA1"/>
    <w:rsid w:val="003D4753"/>
    <w:rsid w:val="003D7711"/>
    <w:rsid w:val="003D7F11"/>
    <w:rsid w:val="003E325F"/>
    <w:rsid w:val="003E40A1"/>
    <w:rsid w:val="003E6108"/>
    <w:rsid w:val="003E6D35"/>
    <w:rsid w:val="003F0523"/>
    <w:rsid w:val="003F0E68"/>
    <w:rsid w:val="003F15E1"/>
    <w:rsid w:val="003F398A"/>
    <w:rsid w:val="003F5440"/>
    <w:rsid w:val="004023CD"/>
    <w:rsid w:val="00404CA2"/>
    <w:rsid w:val="004102D5"/>
    <w:rsid w:val="0041121F"/>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6643"/>
    <w:rsid w:val="00436B7A"/>
    <w:rsid w:val="0043794B"/>
    <w:rsid w:val="00444A1E"/>
    <w:rsid w:val="00450C6B"/>
    <w:rsid w:val="00451903"/>
    <w:rsid w:val="00451E9B"/>
    <w:rsid w:val="00452D5D"/>
    <w:rsid w:val="0045307B"/>
    <w:rsid w:val="00453478"/>
    <w:rsid w:val="00455E71"/>
    <w:rsid w:val="004567A2"/>
    <w:rsid w:val="00460226"/>
    <w:rsid w:val="00461271"/>
    <w:rsid w:val="004622DE"/>
    <w:rsid w:val="00462B2F"/>
    <w:rsid w:val="00462C1F"/>
    <w:rsid w:val="004657E9"/>
    <w:rsid w:val="004679B2"/>
    <w:rsid w:val="004716E7"/>
    <w:rsid w:val="0047204E"/>
    <w:rsid w:val="00472C10"/>
    <w:rsid w:val="00475175"/>
    <w:rsid w:val="00476695"/>
    <w:rsid w:val="00476FDF"/>
    <w:rsid w:val="00480C56"/>
    <w:rsid w:val="004817D0"/>
    <w:rsid w:val="0048248B"/>
    <w:rsid w:val="004824E4"/>
    <w:rsid w:val="004836CB"/>
    <w:rsid w:val="00487BAA"/>
    <w:rsid w:val="00487E0C"/>
    <w:rsid w:val="00490A33"/>
    <w:rsid w:val="00493348"/>
    <w:rsid w:val="004948DD"/>
    <w:rsid w:val="00495423"/>
    <w:rsid w:val="00495630"/>
    <w:rsid w:val="004972B4"/>
    <w:rsid w:val="00497994"/>
    <w:rsid w:val="004A03B0"/>
    <w:rsid w:val="004A1658"/>
    <w:rsid w:val="004A29A2"/>
    <w:rsid w:val="004A4515"/>
    <w:rsid w:val="004A7BD9"/>
    <w:rsid w:val="004A7DED"/>
    <w:rsid w:val="004A7F40"/>
    <w:rsid w:val="004B1FAE"/>
    <w:rsid w:val="004B48E5"/>
    <w:rsid w:val="004B656F"/>
    <w:rsid w:val="004B72B6"/>
    <w:rsid w:val="004C102F"/>
    <w:rsid w:val="004C27DB"/>
    <w:rsid w:val="004C4EDF"/>
    <w:rsid w:val="004C4EF5"/>
    <w:rsid w:val="004C62C9"/>
    <w:rsid w:val="004C6D71"/>
    <w:rsid w:val="004D0A04"/>
    <w:rsid w:val="004D1965"/>
    <w:rsid w:val="004D34A7"/>
    <w:rsid w:val="004D52F3"/>
    <w:rsid w:val="004D698F"/>
    <w:rsid w:val="004D7A08"/>
    <w:rsid w:val="004E0013"/>
    <w:rsid w:val="004E03D7"/>
    <w:rsid w:val="004E1C86"/>
    <w:rsid w:val="004E26BD"/>
    <w:rsid w:val="004E29DE"/>
    <w:rsid w:val="004E418A"/>
    <w:rsid w:val="004E4CA2"/>
    <w:rsid w:val="004E7CC1"/>
    <w:rsid w:val="004F10E3"/>
    <w:rsid w:val="004F121A"/>
    <w:rsid w:val="004F2815"/>
    <w:rsid w:val="004F3B9F"/>
    <w:rsid w:val="004F48A0"/>
    <w:rsid w:val="004F79A3"/>
    <w:rsid w:val="0050158F"/>
    <w:rsid w:val="00502AC1"/>
    <w:rsid w:val="00503570"/>
    <w:rsid w:val="005071B9"/>
    <w:rsid w:val="005104B0"/>
    <w:rsid w:val="00510F67"/>
    <w:rsid w:val="00513E5B"/>
    <w:rsid w:val="00520E83"/>
    <w:rsid w:val="0052200C"/>
    <w:rsid w:val="005222C2"/>
    <w:rsid w:val="0052262F"/>
    <w:rsid w:val="00522C0D"/>
    <w:rsid w:val="00523A2F"/>
    <w:rsid w:val="00526125"/>
    <w:rsid w:val="00527D09"/>
    <w:rsid w:val="005357DC"/>
    <w:rsid w:val="0053640E"/>
    <w:rsid w:val="00536C2D"/>
    <w:rsid w:val="00536EDF"/>
    <w:rsid w:val="00542804"/>
    <w:rsid w:val="00545396"/>
    <w:rsid w:val="00550EE8"/>
    <w:rsid w:val="0055104C"/>
    <w:rsid w:val="005514A7"/>
    <w:rsid w:val="005528B9"/>
    <w:rsid w:val="005553EC"/>
    <w:rsid w:val="005564CF"/>
    <w:rsid w:val="00556BEA"/>
    <w:rsid w:val="0056269B"/>
    <w:rsid w:val="005647F1"/>
    <w:rsid w:val="00565424"/>
    <w:rsid w:val="0057091C"/>
    <w:rsid w:val="00571A79"/>
    <w:rsid w:val="00571FE5"/>
    <w:rsid w:val="00572A56"/>
    <w:rsid w:val="00574655"/>
    <w:rsid w:val="00585FF4"/>
    <w:rsid w:val="005A0C06"/>
    <w:rsid w:val="005A0F3B"/>
    <w:rsid w:val="005A15A0"/>
    <w:rsid w:val="005A2DEA"/>
    <w:rsid w:val="005A5726"/>
    <w:rsid w:val="005A58F3"/>
    <w:rsid w:val="005A61B6"/>
    <w:rsid w:val="005A7FCC"/>
    <w:rsid w:val="005B0469"/>
    <w:rsid w:val="005B0F7A"/>
    <w:rsid w:val="005C0986"/>
    <w:rsid w:val="005C1AD1"/>
    <w:rsid w:val="005C65DF"/>
    <w:rsid w:val="005C7080"/>
    <w:rsid w:val="005D220A"/>
    <w:rsid w:val="005D4D8D"/>
    <w:rsid w:val="005D5FE5"/>
    <w:rsid w:val="005D6BCD"/>
    <w:rsid w:val="005D751E"/>
    <w:rsid w:val="005E094D"/>
    <w:rsid w:val="005E34DE"/>
    <w:rsid w:val="005E3F0C"/>
    <w:rsid w:val="005E5161"/>
    <w:rsid w:val="005E54FC"/>
    <w:rsid w:val="005E5953"/>
    <w:rsid w:val="005E59A8"/>
    <w:rsid w:val="005E7B61"/>
    <w:rsid w:val="005F03ED"/>
    <w:rsid w:val="005F3821"/>
    <w:rsid w:val="005F3A63"/>
    <w:rsid w:val="005F425A"/>
    <w:rsid w:val="005F72B1"/>
    <w:rsid w:val="005F7CF2"/>
    <w:rsid w:val="00600A13"/>
    <w:rsid w:val="00600F1C"/>
    <w:rsid w:val="00604248"/>
    <w:rsid w:val="00621C7B"/>
    <w:rsid w:val="00622803"/>
    <w:rsid w:val="00624BF0"/>
    <w:rsid w:val="00626CAE"/>
    <w:rsid w:val="00630C8F"/>
    <w:rsid w:val="00630DB7"/>
    <w:rsid w:val="00631469"/>
    <w:rsid w:val="00631C9B"/>
    <w:rsid w:val="00637B7C"/>
    <w:rsid w:val="0064169B"/>
    <w:rsid w:val="00641E1B"/>
    <w:rsid w:val="00644DA9"/>
    <w:rsid w:val="00645964"/>
    <w:rsid w:val="00645DB8"/>
    <w:rsid w:val="00650497"/>
    <w:rsid w:val="00651065"/>
    <w:rsid w:val="00653631"/>
    <w:rsid w:val="00656D19"/>
    <w:rsid w:val="00657B62"/>
    <w:rsid w:val="006649C3"/>
    <w:rsid w:val="006668EF"/>
    <w:rsid w:val="00666B5D"/>
    <w:rsid w:val="006705A7"/>
    <w:rsid w:val="00672F96"/>
    <w:rsid w:val="0068333B"/>
    <w:rsid w:val="00690D1E"/>
    <w:rsid w:val="00691EF3"/>
    <w:rsid w:val="006921A7"/>
    <w:rsid w:val="00692564"/>
    <w:rsid w:val="006935A1"/>
    <w:rsid w:val="006A08C4"/>
    <w:rsid w:val="006A4E6B"/>
    <w:rsid w:val="006A6DF2"/>
    <w:rsid w:val="006B289D"/>
    <w:rsid w:val="006B7418"/>
    <w:rsid w:val="006C1DA1"/>
    <w:rsid w:val="006C415F"/>
    <w:rsid w:val="006C4EAE"/>
    <w:rsid w:val="006C5F2A"/>
    <w:rsid w:val="006C7133"/>
    <w:rsid w:val="006D02AC"/>
    <w:rsid w:val="006D0622"/>
    <w:rsid w:val="006D3679"/>
    <w:rsid w:val="006D4E08"/>
    <w:rsid w:val="006E3BA8"/>
    <w:rsid w:val="006E5370"/>
    <w:rsid w:val="006E548B"/>
    <w:rsid w:val="006E5755"/>
    <w:rsid w:val="006E757D"/>
    <w:rsid w:val="006E7B46"/>
    <w:rsid w:val="006F001F"/>
    <w:rsid w:val="006F4223"/>
    <w:rsid w:val="006F4850"/>
    <w:rsid w:val="006F5112"/>
    <w:rsid w:val="006F54FE"/>
    <w:rsid w:val="006F5B94"/>
    <w:rsid w:val="006F6796"/>
    <w:rsid w:val="006F6FE5"/>
    <w:rsid w:val="006F7C82"/>
    <w:rsid w:val="00700B3D"/>
    <w:rsid w:val="00702E38"/>
    <w:rsid w:val="007035E3"/>
    <w:rsid w:val="00706836"/>
    <w:rsid w:val="007103CC"/>
    <w:rsid w:val="00710769"/>
    <w:rsid w:val="00712F22"/>
    <w:rsid w:val="00714EA7"/>
    <w:rsid w:val="007170D9"/>
    <w:rsid w:val="00717B2A"/>
    <w:rsid w:val="00721244"/>
    <w:rsid w:val="00721F03"/>
    <w:rsid w:val="00722463"/>
    <w:rsid w:val="00724017"/>
    <w:rsid w:val="00724B5B"/>
    <w:rsid w:val="00725F33"/>
    <w:rsid w:val="0073172D"/>
    <w:rsid w:val="00731B6D"/>
    <w:rsid w:val="00732AC7"/>
    <w:rsid w:val="0073316B"/>
    <w:rsid w:val="0073661B"/>
    <w:rsid w:val="007372AD"/>
    <w:rsid w:val="007402A7"/>
    <w:rsid w:val="007410A4"/>
    <w:rsid w:val="00741706"/>
    <w:rsid w:val="007418F2"/>
    <w:rsid w:val="00742A49"/>
    <w:rsid w:val="007454D4"/>
    <w:rsid w:val="00745EFD"/>
    <w:rsid w:val="007465A2"/>
    <w:rsid w:val="00746645"/>
    <w:rsid w:val="00746A48"/>
    <w:rsid w:val="00747A02"/>
    <w:rsid w:val="00750272"/>
    <w:rsid w:val="007503E1"/>
    <w:rsid w:val="00750ADC"/>
    <w:rsid w:val="00750CC6"/>
    <w:rsid w:val="00752C24"/>
    <w:rsid w:val="00753594"/>
    <w:rsid w:val="007535EA"/>
    <w:rsid w:val="007544D3"/>
    <w:rsid w:val="00757519"/>
    <w:rsid w:val="00757BE3"/>
    <w:rsid w:val="007602B3"/>
    <w:rsid w:val="00765475"/>
    <w:rsid w:val="00766C5B"/>
    <w:rsid w:val="00767E02"/>
    <w:rsid w:val="007748E5"/>
    <w:rsid w:val="00775DF2"/>
    <w:rsid w:val="00777B0C"/>
    <w:rsid w:val="007835E5"/>
    <w:rsid w:val="00784411"/>
    <w:rsid w:val="00790499"/>
    <w:rsid w:val="00790E1E"/>
    <w:rsid w:val="007920F9"/>
    <w:rsid w:val="0079317E"/>
    <w:rsid w:val="00793C53"/>
    <w:rsid w:val="007942A2"/>
    <w:rsid w:val="00795914"/>
    <w:rsid w:val="007A0E08"/>
    <w:rsid w:val="007A1A28"/>
    <w:rsid w:val="007A30F7"/>
    <w:rsid w:val="007B3CB6"/>
    <w:rsid w:val="007B3CBC"/>
    <w:rsid w:val="007B4177"/>
    <w:rsid w:val="007B5B13"/>
    <w:rsid w:val="007C1A30"/>
    <w:rsid w:val="007C63D7"/>
    <w:rsid w:val="007C6FCA"/>
    <w:rsid w:val="007C79EB"/>
    <w:rsid w:val="007D0A5E"/>
    <w:rsid w:val="007D23A5"/>
    <w:rsid w:val="007D26DD"/>
    <w:rsid w:val="007D71C7"/>
    <w:rsid w:val="007D7FD4"/>
    <w:rsid w:val="007E0726"/>
    <w:rsid w:val="007E350A"/>
    <w:rsid w:val="007E3A87"/>
    <w:rsid w:val="007E3C72"/>
    <w:rsid w:val="007E4087"/>
    <w:rsid w:val="007F11C3"/>
    <w:rsid w:val="007F140C"/>
    <w:rsid w:val="007F1728"/>
    <w:rsid w:val="007F2FEA"/>
    <w:rsid w:val="007F34CA"/>
    <w:rsid w:val="007F561C"/>
    <w:rsid w:val="007F6F12"/>
    <w:rsid w:val="007F76F3"/>
    <w:rsid w:val="007F78FB"/>
    <w:rsid w:val="008007EC"/>
    <w:rsid w:val="00800BA4"/>
    <w:rsid w:val="0080379E"/>
    <w:rsid w:val="00803AA7"/>
    <w:rsid w:val="00803FE4"/>
    <w:rsid w:val="00804C11"/>
    <w:rsid w:val="00804E5B"/>
    <w:rsid w:val="00806963"/>
    <w:rsid w:val="0080722E"/>
    <w:rsid w:val="00813B82"/>
    <w:rsid w:val="0081424A"/>
    <w:rsid w:val="008147EE"/>
    <w:rsid w:val="00816CD2"/>
    <w:rsid w:val="0081723A"/>
    <w:rsid w:val="00817244"/>
    <w:rsid w:val="00827D7D"/>
    <w:rsid w:val="008322A4"/>
    <w:rsid w:val="00833CB6"/>
    <w:rsid w:val="00835AA0"/>
    <w:rsid w:val="0084059E"/>
    <w:rsid w:val="00841651"/>
    <w:rsid w:val="00843760"/>
    <w:rsid w:val="0084543A"/>
    <w:rsid w:val="008461A9"/>
    <w:rsid w:val="00846649"/>
    <w:rsid w:val="00853C12"/>
    <w:rsid w:val="00854E56"/>
    <w:rsid w:val="008553E7"/>
    <w:rsid w:val="00856D32"/>
    <w:rsid w:val="008577A1"/>
    <w:rsid w:val="008614F4"/>
    <w:rsid w:val="00861BCE"/>
    <w:rsid w:val="00862754"/>
    <w:rsid w:val="00863F48"/>
    <w:rsid w:val="00864A49"/>
    <w:rsid w:val="008652BE"/>
    <w:rsid w:val="00865EFD"/>
    <w:rsid w:val="0086635A"/>
    <w:rsid w:val="00866EAF"/>
    <w:rsid w:val="008710E9"/>
    <w:rsid w:val="008768B5"/>
    <w:rsid w:val="00880786"/>
    <w:rsid w:val="00881889"/>
    <w:rsid w:val="00882886"/>
    <w:rsid w:val="008919AF"/>
    <w:rsid w:val="008923B3"/>
    <w:rsid w:val="00895704"/>
    <w:rsid w:val="00896171"/>
    <w:rsid w:val="008967E5"/>
    <w:rsid w:val="008A3C38"/>
    <w:rsid w:val="008A5E79"/>
    <w:rsid w:val="008A62E8"/>
    <w:rsid w:val="008A67C1"/>
    <w:rsid w:val="008B2684"/>
    <w:rsid w:val="008B29A2"/>
    <w:rsid w:val="008B480E"/>
    <w:rsid w:val="008B567D"/>
    <w:rsid w:val="008B688E"/>
    <w:rsid w:val="008B70E6"/>
    <w:rsid w:val="008B7278"/>
    <w:rsid w:val="008C2A9F"/>
    <w:rsid w:val="008C345B"/>
    <w:rsid w:val="008C346B"/>
    <w:rsid w:val="008C5D57"/>
    <w:rsid w:val="008C6D52"/>
    <w:rsid w:val="008C73C9"/>
    <w:rsid w:val="008D1580"/>
    <w:rsid w:val="008D1C59"/>
    <w:rsid w:val="008D2508"/>
    <w:rsid w:val="008D29F7"/>
    <w:rsid w:val="008D3769"/>
    <w:rsid w:val="008D615D"/>
    <w:rsid w:val="008D6668"/>
    <w:rsid w:val="008E3EAA"/>
    <w:rsid w:val="008E4381"/>
    <w:rsid w:val="008F0D78"/>
    <w:rsid w:val="008F2E90"/>
    <w:rsid w:val="008F3804"/>
    <w:rsid w:val="008F56AD"/>
    <w:rsid w:val="008F62B6"/>
    <w:rsid w:val="008F79FC"/>
    <w:rsid w:val="00900971"/>
    <w:rsid w:val="0090267E"/>
    <w:rsid w:val="009032A6"/>
    <w:rsid w:val="00903AB8"/>
    <w:rsid w:val="00904A8B"/>
    <w:rsid w:val="00906B2D"/>
    <w:rsid w:val="00907B14"/>
    <w:rsid w:val="00907E61"/>
    <w:rsid w:val="0091098D"/>
    <w:rsid w:val="00911A92"/>
    <w:rsid w:val="00911C74"/>
    <w:rsid w:val="00911F10"/>
    <w:rsid w:val="00912422"/>
    <w:rsid w:val="009144A8"/>
    <w:rsid w:val="0091478A"/>
    <w:rsid w:val="00917903"/>
    <w:rsid w:val="00917E8D"/>
    <w:rsid w:val="00920506"/>
    <w:rsid w:val="00923C08"/>
    <w:rsid w:val="00925265"/>
    <w:rsid w:val="009258D0"/>
    <w:rsid w:val="00925A62"/>
    <w:rsid w:val="00932040"/>
    <w:rsid w:val="00934C51"/>
    <w:rsid w:val="0094509A"/>
    <w:rsid w:val="00945BE5"/>
    <w:rsid w:val="00955E1A"/>
    <w:rsid w:val="00957F18"/>
    <w:rsid w:val="00962539"/>
    <w:rsid w:val="00963E0B"/>
    <w:rsid w:val="00967A8C"/>
    <w:rsid w:val="00974ACB"/>
    <w:rsid w:val="0097523D"/>
    <w:rsid w:val="00975D77"/>
    <w:rsid w:val="009761C1"/>
    <w:rsid w:val="009867FE"/>
    <w:rsid w:val="00987255"/>
    <w:rsid w:val="009900D0"/>
    <w:rsid w:val="009937DA"/>
    <w:rsid w:val="009950B9"/>
    <w:rsid w:val="00996DE8"/>
    <w:rsid w:val="00997030"/>
    <w:rsid w:val="009A002F"/>
    <w:rsid w:val="009A08AF"/>
    <w:rsid w:val="009A0AAC"/>
    <w:rsid w:val="009A3E8D"/>
    <w:rsid w:val="009A5898"/>
    <w:rsid w:val="009A7704"/>
    <w:rsid w:val="009B3071"/>
    <w:rsid w:val="009C0269"/>
    <w:rsid w:val="009C3284"/>
    <w:rsid w:val="009C3447"/>
    <w:rsid w:val="009C4391"/>
    <w:rsid w:val="009D030B"/>
    <w:rsid w:val="009D0990"/>
    <w:rsid w:val="009D2E80"/>
    <w:rsid w:val="009E1A5F"/>
    <w:rsid w:val="009E20E7"/>
    <w:rsid w:val="009E279F"/>
    <w:rsid w:val="009E31D5"/>
    <w:rsid w:val="009E4528"/>
    <w:rsid w:val="009E671B"/>
    <w:rsid w:val="009E7D08"/>
    <w:rsid w:val="009F00CF"/>
    <w:rsid w:val="009F02C2"/>
    <w:rsid w:val="009F0CE1"/>
    <w:rsid w:val="009F195D"/>
    <w:rsid w:val="009F3439"/>
    <w:rsid w:val="009F3925"/>
    <w:rsid w:val="009F7EEF"/>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403AC"/>
    <w:rsid w:val="00A40B9F"/>
    <w:rsid w:val="00A43CD0"/>
    <w:rsid w:val="00A4463D"/>
    <w:rsid w:val="00A44CCF"/>
    <w:rsid w:val="00A458E9"/>
    <w:rsid w:val="00A46F60"/>
    <w:rsid w:val="00A50DCA"/>
    <w:rsid w:val="00A51339"/>
    <w:rsid w:val="00A51E87"/>
    <w:rsid w:val="00A5646D"/>
    <w:rsid w:val="00A6253F"/>
    <w:rsid w:val="00A64909"/>
    <w:rsid w:val="00A64ED7"/>
    <w:rsid w:val="00A678FB"/>
    <w:rsid w:val="00A67D61"/>
    <w:rsid w:val="00A705D5"/>
    <w:rsid w:val="00A720C0"/>
    <w:rsid w:val="00A73099"/>
    <w:rsid w:val="00A75077"/>
    <w:rsid w:val="00A75D92"/>
    <w:rsid w:val="00A81D6F"/>
    <w:rsid w:val="00A829DE"/>
    <w:rsid w:val="00A84807"/>
    <w:rsid w:val="00A85162"/>
    <w:rsid w:val="00A915ED"/>
    <w:rsid w:val="00A94383"/>
    <w:rsid w:val="00A95D9C"/>
    <w:rsid w:val="00AA287D"/>
    <w:rsid w:val="00AA37D1"/>
    <w:rsid w:val="00AA3ABB"/>
    <w:rsid w:val="00AA3E57"/>
    <w:rsid w:val="00AA424D"/>
    <w:rsid w:val="00AA449C"/>
    <w:rsid w:val="00AA59FA"/>
    <w:rsid w:val="00AA64A3"/>
    <w:rsid w:val="00AA7600"/>
    <w:rsid w:val="00AA7B0A"/>
    <w:rsid w:val="00AB0A25"/>
    <w:rsid w:val="00AB0E8B"/>
    <w:rsid w:val="00AB2ED6"/>
    <w:rsid w:val="00AB5FF2"/>
    <w:rsid w:val="00AB6864"/>
    <w:rsid w:val="00AB7A9C"/>
    <w:rsid w:val="00AC0EC2"/>
    <w:rsid w:val="00AC32E7"/>
    <w:rsid w:val="00AC36CD"/>
    <w:rsid w:val="00AC40F0"/>
    <w:rsid w:val="00AC450A"/>
    <w:rsid w:val="00AC4EBD"/>
    <w:rsid w:val="00AC7117"/>
    <w:rsid w:val="00AD27C3"/>
    <w:rsid w:val="00AD3D0C"/>
    <w:rsid w:val="00AD542A"/>
    <w:rsid w:val="00AD7A2C"/>
    <w:rsid w:val="00AE0108"/>
    <w:rsid w:val="00AE08AE"/>
    <w:rsid w:val="00AE3106"/>
    <w:rsid w:val="00AE4418"/>
    <w:rsid w:val="00AE4638"/>
    <w:rsid w:val="00AE7CC2"/>
    <w:rsid w:val="00AF0AA2"/>
    <w:rsid w:val="00AF1A16"/>
    <w:rsid w:val="00AF2D5E"/>
    <w:rsid w:val="00AF37D7"/>
    <w:rsid w:val="00AF606B"/>
    <w:rsid w:val="00B016F2"/>
    <w:rsid w:val="00B01C79"/>
    <w:rsid w:val="00B03325"/>
    <w:rsid w:val="00B0408C"/>
    <w:rsid w:val="00B05E0B"/>
    <w:rsid w:val="00B06345"/>
    <w:rsid w:val="00B073D2"/>
    <w:rsid w:val="00B074C8"/>
    <w:rsid w:val="00B11C43"/>
    <w:rsid w:val="00B12284"/>
    <w:rsid w:val="00B17CFA"/>
    <w:rsid w:val="00B21F15"/>
    <w:rsid w:val="00B2289E"/>
    <w:rsid w:val="00B22F8B"/>
    <w:rsid w:val="00B2557C"/>
    <w:rsid w:val="00B26F80"/>
    <w:rsid w:val="00B27FDC"/>
    <w:rsid w:val="00B3144D"/>
    <w:rsid w:val="00B32A56"/>
    <w:rsid w:val="00B35E7B"/>
    <w:rsid w:val="00B36110"/>
    <w:rsid w:val="00B36993"/>
    <w:rsid w:val="00B40819"/>
    <w:rsid w:val="00B40A73"/>
    <w:rsid w:val="00B415D5"/>
    <w:rsid w:val="00B41E7C"/>
    <w:rsid w:val="00B42523"/>
    <w:rsid w:val="00B45DAD"/>
    <w:rsid w:val="00B50ACF"/>
    <w:rsid w:val="00B50E66"/>
    <w:rsid w:val="00B53EF9"/>
    <w:rsid w:val="00B56C63"/>
    <w:rsid w:val="00B6181C"/>
    <w:rsid w:val="00B637B6"/>
    <w:rsid w:val="00B64C35"/>
    <w:rsid w:val="00B65109"/>
    <w:rsid w:val="00B65193"/>
    <w:rsid w:val="00B66228"/>
    <w:rsid w:val="00B66D82"/>
    <w:rsid w:val="00B70F30"/>
    <w:rsid w:val="00B72B2B"/>
    <w:rsid w:val="00B736B6"/>
    <w:rsid w:val="00B746B6"/>
    <w:rsid w:val="00B77857"/>
    <w:rsid w:val="00B8396C"/>
    <w:rsid w:val="00B915A2"/>
    <w:rsid w:val="00B93136"/>
    <w:rsid w:val="00B943A9"/>
    <w:rsid w:val="00B9537F"/>
    <w:rsid w:val="00BA41BF"/>
    <w:rsid w:val="00BA6685"/>
    <w:rsid w:val="00BB0BF1"/>
    <w:rsid w:val="00BB10B8"/>
    <w:rsid w:val="00BB1D9A"/>
    <w:rsid w:val="00BB76A5"/>
    <w:rsid w:val="00BC0248"/>
    <w:rsid w:val="00BC1BBA"/>
    <w:rsid w:val="00BC35EC"/>
    <w:rsid w:val="00BC39C1"/>
    <w:rsid w:val="00BC479A"/>
    <w:rsid w:val="00BC6A89"/>
    <w:rsid w:val="00BC78F3"/>
    <w:rsid w:val="00BC797E"/>
    <w:rsid w:val="00BD0C8D"/>
    <w:rsid w:val="00BD135C"/>
    <w:rsid w:val="00BD63D3"/>
    <w:rsid w:val="00BD6816"/>
    <w:rsid w:val="00BE04CF"/>
    <w:rsid w:val="00BE2A48"/>
    <w:rsid w:val="00BE4CF3"/>
    <w:rsid w:val="00BE546A"/>
    <w:rsid w:val="00BE75C3"/>
    <w:rsid w:val="00BF1777"/>
    <w:rsid w:val="00BF47AE"/>
    <w:rsid w:val="00BF490C"/>
    <w:rsid w:val="00BF5E22"/>
    <w:rsid w:val="00BF5F6F"/>
    <w:rsid w:val="00C008A9"/>
    <w:rsid w:val="00C00BAF"/>
    <w:rsid w:val="00C01667"/>
    <w:rsid w:val="00C02961"/>
    <w:rsid w:val="00C036B6"/>
    <w:rsid w:val="00C051D7"/>
    <w:rsid w:val="00C0586A"/>
    <w:rsid w:val="00C11B66"/>
    <w:rsid w:val="00C12C92"/>
    <w:rsid w:val="00C138DD"/>
    <w:rsid w:val="00C166BF"/>
    <w:rsid w:val="00C16C04"/>
    <w:rsid w:val="00C171A0"/>
    <w:rsid w:val="00C302C8"/>
    <w:rsid w:val="00C3094A"/>
    <w:rsid w:val="00C31E1C"/>
    <w:rsid w:val="00C33286"/>
    <w:rsid w:val="00C333B0"/>
    <w:rsid w:val="00C35849"/>
    <w:rsid w:val="00C3601B"/>
    <w:rsid w:val="00C37BBE"/>
    <w:rsid w:val="00C41D5C"/>
    <w:rsid w:val="00C42835"/>
    <w:rsid w:val="00C43212"/>
    <w:rsid w:val="00C46D38"/>
    <w:rsid w:val="00C4701D"/>
    <w:rsid w:val="00C51BFF"/>
    <w:rsid w:val="00C531A4"/>
    <w:rsid w:val="00C534CB"/>
    <w:rsid w:val="00C53C40"/>
    <w:rsid w:val="00C54578"/>
    <w:rsid w:val="00C54CE0"/>
    <w:rsid w:val="00C55EF7"/>
    <w:rsid w:val="00C61860"/>
    <w:rsid w:val="00C62886"/>
    <w:rsid w:val="00C62906"/>
    <w:rsid w:val="00C6616E"/>
    <w:rsid w:val="00C67778"/>
    <w:rsid w:val="00C72522"/>
    <w:rsid w:val="00C73DA5"/>
    <w:rsid w:val="00C74307"/>
    <w:rsid w:val="00C74530"/>
    <w:rsid w:val="00C74E4C"/>
    <w:rsid w:val="00C756F9"/>
    <w:rsid w:val="00C7718A"/>
    <w:rsid w:val="00C77721"/>
    <w:rsid w:val="00C8113F"/>
    <w:rsid w:val="00C8137C"/>
    <w:rsid w:val="00C834CB"/>
    <w:rsid w:val="00C83DF1"/>
    <w:rsid w:val="00C84648"/>
    <w:rsid w:val="00C851EA"/>
    <w:rsid w:val="00C85894"/>
    <w:rsid w:val="00C919F9"/>
    <w:rsid w:val="00C946E0"/>
    <w:rsid w:val="00C95C63"/>
    <w:rsid w:val="00C961C9"/>
    <w:rsid w:val="00C97B21"/>
    <w:rsid w:val="00CA4AAD"/>
    <w:rsid w:val="00CB07B1"/>
    <w:rsid w:val="00CB1D17"/>
    <w:rsid w:val="00CB2834"/>
    <w:rsid w:val="00CB3F37"/>
    <w:rsid w:val="00CB4429"/>
    <w:rsid w:val="00CB472A"/>
    <w:rsid w:val="00CB7E91"/>
    <w:rsid w:val="00CC05F8"/>
    <w:rsid w:val="00CC093A"/>
    <w:rsid w:val="00CC24B7"/>
    <w:rsid w:val="00CC3E8B"/>
    <w:rsid w:val="00CC41FE"/>
    <w:rsid w:val="00CC5AF5"/>
    <w:rsid w:val="00CC6B8B"/>
    <w:rsid w:val="00CC7364"/>
    <w:rsid w:val="00CC7C08"/>
    <w:rsid w:val="00CD0FDD"/>
    <w:rsid w:val="00CD1108"/>
    <w:rsid w:val="00CD2201"/>
    <w:rsid w:val="00CD3E9B"/>
    <w:rsid w:val="00CD4FF6"/>
    <w:rsid w:val="00CE0EBE"/>
    <w:rsid w:val="00CE1855"/>
    <w:rsid w:val="00CE18A6"/>
    <w:rsid w:val="00CE2508"/>
    <w:rsid w:val="00CE48ED"/>
    <w:rsid w:val="00CE55AD"/>
    <w:rsid w:val="00CE5BEF"/>
    <w:rsid w:val="00CE7F8B"/>
    <w:rsid w:val="00CF0783"/>
    <w:rsid w:val="00CF1154"/>
    <w:rsid w:val="00CF1EA8"/>
    <w:rsid w:val="00CF2838"/>
    <w:rsid w:val="00CF375C"/>
    <w:rsid w:val="00CF5D5A"/>
    <w:rsid w:val="00CF7813"/>
    <w:rsid w:val="00CF7CCC"/>
    <w:rsid w:val="00CF7E17"/>
    <w:rsid w:val="00D0008D"/>
    <w:rsid w:val="00D00575"/>
    <w:rsid w:val="00D025BD"/>
    <w:rsid w:val="00D04003"/>
    <w:rsid w:val="00D0648A"/>
    <w:rsid w:val="00D07230"/>
    <w:rsid w:val="00D147A4"/>
    <w:rsid w:val="00D1512E"/>
    <w:rsid w:val="00D17346"/>
    <w:rsid w:val="00D1761E"/>
    <w:rsid w:val="00D201F8"/>
    <w:rsid w:val="00D275C0"/>
    <w:rsid w:val="00D344CF"/>
    <w:rsid w:val="00D34714"/>
    <w:rsid w:val="00D34CA7"/>
    <w:rsid w:val="00D37159"/>
    <w:rsid w:val="00D37237"/>
    <w:rsid w:val="00D451A1"/>
    <w:rsid w:val="00D4576A"/>
    <w:rsid w:val="00D53828"/>
    <w:rsid w:val="00D551A6"/>
    <w:rsid w:val="00D605F3"/>
    <w:rsid w:val="00D619F6"/>
    <w:rsid w:val="00D61A55"/>
    <w:rsid w:val="00D623F3"/>
    <w:rsid w:val="00D66D8D"/>
    <w:rsid w:val="00D72E42"/>
    <w:rsid w:val="00D74953"/>
    <w:rsid w:val="00D7589C"/>
    <w:rsid w:val="00D76D0B"/>
    <w:rsid w:val="00D82A2E"/>
    <w:rsid w:val="00D833AF"/>
    <w:rsid w:val="00D83781"/>
    <w:rsid w:val="00D84BD8"/>
    <w:rsid w:val="00D91CB4"/>
    <w:rsid w:val="00D93FEB"/>
    <w:rsid w:val="00D9493A"/>
    <w:rsid w:val="00D95764"/>
    <w:rsid w:val="00D95D71"/>
    <w:rsid w:val="00D97CFC"/>
    <w:rsid w:val="00DA057E"/>
    <w:rsid w:val="00DA2AFC"/>
    <w:rsid w:val="00DA6699"/>
    <w:rsid w:val="00DA6C9B"/>
    <w:rsid w:val="00DB3BBA"/>
    <w:rsid w:val="00DB4222"/>
    <w:rsid w:val="00DB4CC5"/>
    <w:rsid w:val="00DB7570"/>
    <w:rsid w:val="00DC15F1"/>
    <w:rsid w:val="00DC1C66"/>
    <w:rsid w:val="00DC26CB"/>
    <w:rsid w:val="00DC33EC"/>
    <w:rsid w:val="00DC40DF"/>
    <w:rsid w:val="00DC4832"/>
    <w:rsid w:val="00DC5838"/>
    <w:rsid w:val="00DC6104"/>
    <w:rsid w:val="00DC788B"/>
    <w:rsid w:val="00DD0ADE"/>
    <w:rsid w:val="00DD3343"/>
    <w:rsid w:val="00DD40D0"/>
    <w:rsid w:val="00DD4550"/>
    <w:rsid w:val="00DD50D5"/>
    <w:rsid w:val="00DD591F"/>
    <w:rsid w:val="00DD5EFD"/>
    <w:rsid w:val="00DD60B8"/>
    <w:rsid w:val="00DE2BFD"/>
    <w:rsid w:val="00DE3EAA"/>
    <w:rsid w:val="00DE422E"/>
    <w:rsid w:val="00DF064D"/>
    <w:rsid w:val="00DF1705"/>
    <w:rsid w:val="00DF3159"/>
    <w:rsid w:val="00DF42BE"/>
    <w:rsid w:val="00DF533B"/>
    <w:rsid w:val="00E0298F"/>
    <w:rsid w:val="00E0342B"/>
    <w:rsid w:val="00E036A0"/>
    <w:rsid w:val="00E04B4D"/>
    <w:rsid w:val="00E10F88"/>
    <w:rsid w:val="00E111CB"/>
    <w:rsid w:val="00E125D1"/>
    <w:rsid w:val="00E12BC8"/>
    <w:rsid w:val="00E13C00"/>
    <w:rsid w:val="00E15A09"/>
    <w:rsid w:val="00E21FFD"/>
    <w:rsid w:val="00E23449"/>
    <w:rsid w:val="00E2725D"/>
    <w:rsid w:val="00E30EAF"/>
    <w:rsid w:val="00E34617"/>
    <w:rsid w:val="00E36BA5"/>
    <w:rsid w:val="00E36C43"/>
    <w:rsid w:val="00E40545"/>
    <w:rsid w:val="00E407C1"/>
    <w:rsid w:val="00E40E22"/>
    <w:rsid w:val="00E41926"/>
    <w:rsid w:val="00E42363"/>
    <w:rsid w:val="00E4252B"/>
    <w:rsid w:val="00E45BEC"/>
    <w:rsid w:val="00E47EFB"/>
    <w:rsid w:val="00E5055D"/>
    <w:rsid w:val="00E518D5"/>
    <w:rsid w:val="00E52354"/>
    <w:rsid w:val="00E54054"/>
    <w:rsid w:val="00E54579"/>
    <w:rsid w:val="00E54EB3"/>
    <w:rsid w:val="00E555BD"/>
    <w:rsid w:val="00E57953"/>
    <w:rsid w:val="00E60F25"/>
    <w:rsid w:val="00E64D28"/>
    <w:rsid w:val="00E652DF"/>
    <w:rsid w:val="00E74B10"/>
    <w:rsid w:val="00E76E09"/>
    <w:rsid w:val="00E77ED5"/>
    <w:rsid w:val="00E8592F"/>
    <w:rsid w:val="00E87BFA"/>
    <w:rsid w:val="00E908FD"/>
    <w:rsid w:val="00E91244"/>
    <w:rsid w:val="00E91C90"/>
    <w:rsid w:val="00E92628"/>
    <w:rsid w:val="00E930BB"/>
    <w:rsid w:val="00E9460F"/>
    <w:rsid w:val="00E97A91"/>
    <w:rsid w:val="00EA118A"/>
    <w:rsid w:val="00EA5399"/>
    <w:rsid w:val="00EA58AC"/>
    <w:rsid w:val="00EA77B9"/>
    <w:rsid w:val="00EB0506"/>
    <w:rsid w:val="00EB23D1"/>
    <w:rsid w:val="00EB2784"/>
    <w:rsid w:val="00EB2ED2"/>
    <w:rsid w:val="00EB344F"/>
    <w:rsid w:val="00EB46B9"/>
    <w:rsid w:val="00EB4962"/>
    <w:rsid w:val="00EB4EEE"/>
    <w:rsid w:val="00EB6A03"/>
    <w:rsid w:val="00EB6A9D"/>
    <w:rsid w:val="00EB7782"/>
    <w:rsid w:val="00ED0B63"/>
    <w:rsid w:val="00ED3F98"/>
    <w:rsid w:val="00ED3FA8"/>
    <w:rsid w:val="00ED4AEF"/>
    <w:rsid w:val="00ED581C"/>
    <w:rsid w:val="00ED6A0D"/>
    <w:rsid w:val="00EE1C7F"/>
    <w:rsid w:val="00EE3077"/>
    <w:rsid w:val="00EE4B6B"/>
    <w:rsid w:val="00EE4BC6"/>
    <w:rsid w:val="00EE659F"/>
    <w:rsid w:val="00EE6688"/>
    <w:rsid w:val="00EF2541"/>
    <w:rsid w:val="00EF37A2"/>
    <w:rsid w:val="00EF6E12"/>
    <w:rsid w:val="00EF736B"/>
    <w:rsid w:val="00EF74F6"/>
    <w:rsid w:val="00F00A54"/>
    <w:rsid w:val="00F02444"/>
    <w:rsid w:val="00F02804"/>
    <w:rsid w:val="00F02B5A"/>
    <w:rsid w:val="00F045B5"/>
    <w:rsid w:val="00F06927"/>
    <w:rsid w:val="00F10FCA"/>
    <w:rsid w:val="00F11557"/>
    <w:rsid w:val="00F135EB"/>
    <w:rsid w:val="00F13B0A"/>
    <w:rsid w:val="00F14CED"/>
    <w:rsid w:val="00F14D98"/>
    <w:rsid w:val="00F207BE"/>
    <w:rsid w:val="00F26EE6"/>
    <w:rsid w:val="00F274B6"/>
    <w:rsid w:val="00F27A5E"/>
    <w:rsid w:val="00F30765"/>
    <w:rsid w:val="00F347A9"/>
    <w:rsid w:val="00F37A0D"/>
    <w:rsid w:val="00F43D5B"/>
    <w:rsid w:val="00F44924"/>
    <w:rsid w:val="00F50240"/>
    <w:rsid w:val="00F52178"/>
    <w:rsid w:val="00F52D8B"/>
    <w:rsid w:val="00F54615"/>
    <w:rsid w:val="00F56F00"/>
    <w:rsid w:val="00F57135"/>
    <w:rsid w:val="00F60098"/>
    <w:rsid w:val="00F62738"/>
    <w:rsid w:val="00F63E12"/>
    <w:rsid w:val="00F64A75"/>
    <w:rsid w:val="00F650CE"/>
    <w:rsid w:val="00F7121E"/>
    <w:rsid w:val="00F729E4"/>
    <w:rsid w:val="00F751FC"/>
    <w:rsid w:val="00F812A7"/>
    <w:rsid w:val="00F817F0"/>
    <w:rsid w:val="00F81AA5"/>
    <w:rsid w:val="00F830E4"/>
    <w:rsid w:val="00F83C06"/>
    <w:rsid w:val="00F90CD4"/>
    <w:rsid w:val="00F92F6A"/>
    <w:rsid w:val="00F94E08"/>
    <w:rsid w:val="00F96457"/>
    <w:rsid w:val="00F96ECC"/>
    <w:rsid w:val="00F9784C"/>
    <w:rsid w:val="00F97999"/>
    <w:rsid w:val="00FA18E6"/>
    <w:rsid w:val="00FA614F"/>
    <w:rsid w:val="00FA6CF3"/>
    <w:rsid w:val="00FA7B53"/>
    <w:rsid w:val="00FA7D97"/>
    <w:rsid w:val="00FB0198"/>
    <w:rsid w:val="00FB1CC4"/>
    <w:rsid w:val="00FC130B"/>
    <w:rsid w:val="00FC188D"/>
    <w:rsid w:val="00FC251F"/>
    <w:rsid w:val="00FC3AF1"/>
    <w:rsid w:val="00FC430C"/>
    <w:rsid w:val="00FC5F81"/>
    <w:rsid w:val="00FD0265"/>
    <w:rsid w:val="00FD57EB"/>
    <w:rsid w:val="00FD585B"/>
    <w:rsid w:val="00FD5CCA"/>
    <w:rsid w:val="00FD7609"/>
    <w:rsid w:val="00FE061A"/>
    <w:rsid w:val="00FE7F37"/>
    <w:rsid w:val="00FF05E7"/>
    <w:rsid w:val="00FF06B6"/>
    <w:rsid w:val="00FF195F"/>
    <w:rsid w:val="00FF2222"/>
    <w:rsid w:val="00FF2A9B"/>
    <w:rsid w:val="00FF4D7D"/>
    <w:rsid w:val="00FF5228"/>
    <w:rsid w:val="00FF58D4"/>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bCs/>
        <w:szCs w:val="24"/>
        <w:lang w:val="en-US" w:eastAsia="zh-CN" w:bidi="ar-SA"/>
      </w:rPr>
    </w:rPrDefault>
    <w:pPrDefault>
      <w:pPr>
        <w:spacing w:beforeLines="50" w:before="50" w:afterLines="50" w:after="50"/>
        <w:ind w:left="357" w:hanging="35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E546A"/>
    <w:pPr>
      <w:spacing w:beforeLines="0" w:before="0" w:afterLines="0" w:after="0"/>
      <w:ind w:left="0" w:firstLine="0"/>
    </w:p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ind w:left="357" w:hanging="357"/>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val="0"/>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szCs w:val="20"/>
    </w:rPr>
  </w:style>
  <w:style w:type="paragraph" w:customStyle="1" w:styleId="B2">
    <w:name w:val="B2"/>
    <w:basedOn w:val="21"/>
    <w:link w:val="B2Char"/>
    <w:qFormat/>
    <w:rsid w:val="002241C7"/>
    <w:pPr>
      <w:spacing w:after="180"/>
      <w:ind w:leftChars="0" w:left="851" w:firstLineChars="0" w:hanging="284"/>
      <w:contextualSpacing w:val="0"/>
    </w:pPr>
    <w:rPr>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val="0"/>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eastAsia="Malgun Gothic"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lang w:val="en-GB" w:eastAsia="en-US"/>
    </w:rPr>
  </w:style>
  <w:style w:type="paragraph" w:styleId="af">
    <w:name w:val="Normal (Web)"/>
    <w:basedOn w:val="a0"/>
    <w:uiPriority w:val="99"/>
    <w:semiHidden/>
    <w:unhideWhenUsed/>
    <w:rsid w:val="001C71A4"/>
    <w:pPr>
      <w:spacing w:before="100" w:beforeAutospacing="1" w:after="100" w:afterAutospacing="1"/>
    </w:pPr>
  </w:style>
  <w:style w:type="paragraph" w:customStyle="1" w:styleId="PL">
    <w:name w:val="PL"/>
    <w:link w:val="PLChar"/>
    <w:qFormat/>
    <w:rsid w:val="00A915E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val="en-GB"/>
    </w:rPr>
  </w:style>
  <w:style w:type="character" w:customStyle="1" w:styleId="PLChar">
    <w:name w:val="PL Char"/>
    <w:link w:val="PL"/>
    <w:qFormat/>
    <w:rsid w:val="00A915ED"/>
    <w:rPr>
      <w:rFonts w:ascii="Courier New" w:eastAsia="Times New Roman" w:hAnsi="Courier New" w:cs="Times New Roman"/>
      <w:noProof/>
      <w:kern w:val="0"/>
      <w:sz w:val="16"/>
      <w:szCs w:val="20"/>
      <w:shd w:val="clear" w:color="auto" w:fill="E7E6E6" w:themeFill="background2"/>
      <w:lang w:val="en-GB"/>
    </w:rPr>
  </w:style>
  <w:style w:type="character" w:customStyle="1" w:styleId="Char">
    <w:name w:val="列出段落 Char"/>
    <w:aliases w:val="- Bullets Char,목록 단락 Char,?? ?? Char,????? Char,リスト段落 Char,???? Char,Lista1 Char,彩色列表 - 强调文字颜色 1 Char"/>
    <w:uiPriority w:val="34"/>
    <w:qFormat/>
    <w:locked/>
    <w:rsid w:val="004A7BD9"/>
    <w:rPr>
      <w:rFonts w:ascii="Calibri" w:eastAsia="Calibri" w:hAnsi="Calibri"/>
      <w:sz w:val="22"/>
      <w:szCs w:val="22"/>
      <w:lang w:eastAsia="en-US"/>
    </w:rPr>
  </w:style>
  <w:style w:type="character" w:styleId="af0">
    <w:name w:val="Strong"/>
    <w:basedOn w:val="a1"/>
    <w:uiPriority w:val="22"/>
    <w:qFormat/>
    <w:rsid w:val="003C6A9B"/>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740227">
      <w:bodyDiv w:val="1"/>
      <w:marLeft w:val="0"/>
      <w:marRight w:val="0"/>
      <w:marTop w:val="0"/>
      <w:marBottom w:val="0"/>
      <w:divBdr>
        <w:top w:val="none" w:sz="0" w:space="0" w:color="auto"/>
        <w:left w:val="none" w:sz="0" w:space="0" w:color="auto"/>
        <w:bottom w:val="none" w:sz="0" w:space="0" w:color="auto"/>
        <w:right w:val="none" w:sz="0" w:space="0" w:color="auto"/>
      </w:divBdr>
    </w:div>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069424063">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1180261">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53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1301</Words>
  <Characters>7420</Characters>
  <Application>Microsoft Office Word</Application>
  <DocSecurity>0</DocSecurity>
  <Lines>61</Lines>
  <Paragraphs>17</Paragraphs>
  <ScaleCrop>false</ScaleCrop>
  <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5</cp:revision>
  <dcterms:created xsi:type="dcterms:W3CDTF">2025-05-08T14:32:00Z</dcterms:created>
  <dcterms:modified xsi:type="dcterms:W3CDTF">2025-05-09T12:04:00Z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